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644A4" w14:textId="4DF9BDAE" w:rsidR="00CE1DCB" w:rsidRPr="008126AE" w:rsidRDefault="0004006B" w:rsidP="00E66C92">
      <w:pPr>
        <w:pStyle w:val="Cm"/>
        <w:spacing w:after="0"/>
      </w:pPr>
      <w:r>
        <w:t>4</w:t>
      </w:r>
      <w:r w:rsidR="00013C9B">
        <w:t>/2023. (</w:t>
      </w:r>
      <w:r>
        <w:t>XI.27.</w:t>
      </w:r>
      <w:r w:rsidR="00013C9B">
        <w:t>)</w:t>
      </w:r>
      <w:r>
        <w:t xml:space="preserve"> </w:t>
      </w:r>
      <w:r w:rsidR="00CE1DCB" w:rsidRPr="008126AE">
        <w:t>MÜK szabályzat</w:t>
      </w:r>
      <w:r w:rsidR="00CE1DCB" w:rsidRPr="008126AE">
        <w:rPr>
          <w:vertAlign w:val="superscript"/>
        </w:rPr>
        <w:footnoteReference w:id="1"/>
      </w:r>
      <w:r w:rsidR="00CE1DCB" w:rsidRPr="008126AE">
        <w:br/>
        <w:t>a</w:t>
      </w:r>
      <w:r w:rsidR="00160314">
        <w:t xml:space="preserve"> belső</w:t>
      </w:r>
      <w:r w:rsidR="00CE1DCB" w:rsidRPr="008126AE">
        <w:t xml:space="preserve"> </w:t>
      </w:r>
      <w:r w:rsidR="00CE1DCB">
        <w:t>vi</w:t>
      </w:r>
      <w:r w:rsidR="0007462C">
        <w:t>sszaélés-be</w:t>
      </w:r>
      <w:r w:rsidR="00B906C8">
        <w:t>jelentési rendszer</w:t>
      </w:r>
      <w:r w:rsidR="00160314">
        <w:t xml:space="preserve"> működtetésével megbízható külső szervezettel, továbbá a vele kötött szerződéssel szemben támasztott követelményekről</w:t>
      </w:r>
      <w:r w:rsidR="00CE1DCB" w:rsidRPr="008126AE">
        <w:rPr>
          <w:vertAlign w:val="superscript"/>
        </w:rPr>
        <w:footnoteReference w:id="2"/>
      </w:r>
    </w:p>
    <w:p w14:paraId="3AA72A46" w14:textId="77777777" w:rsidR="00013C9B" w:rsidRDefault="00CE1DCB" w:rsidP="00013C9B">
      <w:pPr>
        <w:pStyle w:val="FESZ"/>
        <w:rPr>
          <w:sz w:val="24"/>
          <w:szCs w:val="24"/>
        </w:rPr>
      </w:pPr>
      <w:r w:rsidRPr="008126AE">
        <w:rPr>
          <w:sz w:val="24"/>
          <w:szCs w:val="24"/>
        </w:rPr>
        <w:t xml:space="preserve">A Magyar Ügyvédi Kamara </w:t>
      </w:r>
      <w:r w:rsidR="00C15991">
        <w:rPr>
          <w:sz w:val="24"/>
          <w:szCs w:val="24"/>
        </w:rPr>
        <w:t xml:space="preserve">Küldöttgyűlése </w:t>
      </w:r>
    </w:p>
    <w:p w14:paraId="6A4443E2" w14:textId="132EC683" w:rsidR="00CE1DCB" w:rsidRDefault="00CE1DCB" w:rsidP="00E66C92">
      <w:pPr>
        <w:pStyle w:val="FESZ"/>
        <w:spacing w:before="100"/>
        <w:rPr>
          <w:sz w:val="24"/>
          <w:szCs w:val="24"/>
        </w:rPr>
      </w:pPr>
      <w:r w:rsidRPr="008126AE">
        <w:rPr>
          <w:sz w:val="24"/>
          <w:szCs w:val="24"/>
        </w:rPr>
        <w:t>az ügyvédi tevékenységről szóló 2017. évi LXXVIII. tör</w:t>
      </w:r>
      <w:r>
        <w:rPr>
          <w:sz w:val="24"/>
          <w:szCs w:val="24"/>
        </w:rPr>
        <w:t xml:space="preserve">vény (a továbbiakban: Üttv.) </w:t>
      </w:r>
    </w:p>
    <w:p w14:paraId="57ED1C20" w14:textId="015FAD46" w:rsidR="00E71D58" w:rsidRDefault="00CE1DCB" w:rsidP="00E66C92">
      <w:pPr>
        <w:pStyle w:val="FESZ"/>
        <w:spacing w:before="100"/>
        <w:rPr>
          <w:sz w:val="24"/>
          <w:szCs w:val="24"/>
        </w:rPr>
      </w:pPr>
      <w:r>
        <w:rPr>
          <w:sz w:val="24"/>
          <w:szCs w:val="24"/>
        </w:rPr>
        <w:t>a</w:t>
      </w:r>
      <w:r w:rsidR="00E71D58">
        <w:rPr>
          <w:sz w:val="24"/>
          <w:szCs w:val="24"/>
        </w:rPr>
        <w:t>z Üttv.</w:t>
      </w:r>
      <w:r>
        <w:rPr>
          <w:sz w:val="24"/>
          <w:szCs w:val="24"/>
        </w:rPr>
        <w:t xml:space="preserve"> 158. § (1) bekezdés 38. pontjában </w:t>
      </w:r>
      <w:r w:rsidRPr="008126AE">
        <w:rPr>
          <w:sz w:val="24"/>
          <w:szCs w:val="24"/>
        </w:rPr>
        <w:t>kapott felhatalmazás alapján</w:t>
      </w:r>
      <w:r w:rsidR="00E71D58">
        <w:rPr>
          <w:sz w:val="24"/>
          <w:szCs w:val="24"/>
        </w:rPr>
        <w:t>,</w:t>
      </w:r>
    </w:p>
    <w:p w14:paraId="35741636" w14:textId="77777777" w:rsidR="00013C9B" w:rsidRDefault="00CE1DCB" w:rsidP="00E66C92">
      <w:pPr>
        <w:pStyle w:val="FESZ"/>
        <w:spacing w:before="100"/>
        <w:rPr>
          <w:sz w:val="24"/>
          <w:szCs w:val="24"/>
        </w:rPr>
      </w:pPr>
      <w:r w:rsidRPr="008126AE">
        <w:rPr>
          <w:sz w:val="24"/>
          <w:szCs w:val="24"/>
        </w:rPr>
        <w:t>az Üttv. 157. § (2) bekezdés e) pontjában foglalt feladatkörében eljárva</w:t>
      </w:r>
      <w:r w:rsidR="0028509B">
        <w:rPr>
          <w:sz w:val="24"/>
          <w:szCs w:val="24"/>
        </w:rPr>
        <w:t xml:space="preserve"> </w:t>
      </w:r>
    </w:p>
    <w:p w14:paraId="53762EFB" w14:textId="386C761D" w:rsidR="00D42B59" w:rsidRDefault="00CE1DCB" w:rsidP="00E66C92">
      <w:pPr>
        <w:pStyle w:val="FESZ"/>
        <w:spacing w:before="100"/>
      </w:pPr>
      <w:r w:rsidRPr="008126AE">
        <w:rPr>
          <w:sz w:val="24"/>
          <w:szCs w:val="24"/>
        </w:rPr>
        <w:t>a következő szabályzatot alkotja:</w:t>
      </w:r>
    </w:p>
    <w:p w14:paraId="77F52DC5" w14:textId="77777777" w:rsidR="00D42B59" w:rsidRDefault="00D42B59" w:rsidP="00507C24">
      <w:pPr>
        <w:pStyle w:val="Cmsor1"/>
      </w:pPr>
      <w:r w:rsidRPr="00B4618B">
        <w:t xml:space="preserve">Külső </w:t>
      </w:r>
      <w:r w:rsidRPr="00B965FA">
        <w:t>szervezettel</w:t>
      </w:r>
      <w:r w:rsidRPr="00B4618B">
        <w:t xml:space="preserve"> szembeni követelmények</w:t>
      </w:r>
    </w:p>
    <w:p w14:paraId="6E92949D" w14:textId="7EF0DBB6" w:rsidR="00D77D28" w:rsidRDefault="00D77D28" w:rsidP="00507C24">
      <w:pPr>
        <w:pStyle w:val="Cmsor2"/>
      </w:pPr>
      <w:r>
        <w:t xml:space="preserve">Az </w:t>
      </w:r>
      <w:r w:rsidRPr="00B965FA">
        <w:t>ügyvéd</w:t>
      </w:r>
      <w:r>
        <w:t xml:space="preserve">, </w:t>
      </w:r>
      <w:r w:rsidRPr="00D77D28">
        <w:t>az</w:t>
      </w:r>
      <w:r>
        <w:t xml:space="preserve"> európai közösségi jogász, az ügyvédi iroda és az európai közösségi jogászi iroda </w:t>
      </w:r>
      <w:r w:rsidR="00F77871">
        <w:t xml:space="preserve">olyan </w:t>
      </w:r>
      <w:r w:rsidR="001D2D67">
        <w:t xml:space="preserve">külső </w:t>
      </w:r>
      <w:r w:rsidR="00F77871">
        <w:t xml:space="preserve">szervezetet </w:t>
      </w:r>
      <w:r w:rsidR="005921CF">
        <w:t xml:space="preserve">(a továbbiakban: külső szervezet) </w:t>
      </w:r>
      <w:r w:rsidR="00F77871">
        <w:t xml:space="preserve">bízhat meg </w:t>
      </w:r>
      <w:r w:rsidR="00CE4504">
        <w:t>a</w:t>
      </w:r>
      <w:r w:rsidR="00CE4504" w:rsidRPr="00494472">
        <w:t xml:space="preserve"> panaszokról, a közérdekű bejelentésekről, valamint a visszaélések bejelentésével összefüggő szabályokról szóló törvény</w:t>
      </w:r>
      <w:r w:rsidR="00CE4504">
        <w:t xml:space="preserve"> szerinti </w:t>
      </w:r>
      <w:r w:rsidR="00F77871">
        <w:t xml:space="preserve">visszaélés-bejelentési rendszer </w:t>
      </w:r>
      <w:r w:rsidR="00CE4504">
        <w:t xml:space="preserve">(a továbbiakban: visszaélés-bejelentési rendszer) </w:t>
      </w:r>
      <w:r w:rsidR="00F77871">
        <w:t xml:space="preserve">működtetésével, amely </w:t>
      </w:r>
    </w:p>
    <w:p w14:paraId="28A52E00" w14:textId="3C121AFE" w:rsidR="00D77D28" w:rsidRDefault="0074603B" w:rsidP="00507C24">
      <w:pPr>
        <w:pStyle w:val="Cmsor3"/>
      </w:pPr>
      <w:r>
        <w:t xml:space="preserve">jogi </w:t>
      </w:r>
      <w:r w:rsidRPr="00CE4504">
        <w:t>személy</w:t>
      </w:r>
      <w:r w:rsidR="00D77D28">
        <w:t>,</w:t>
      </w:r>
    </w:p>
    <w:p w14:paraId="62114F78" w14:textId="38008799" w:rsidR="00D77D28" w:rsidRDefault="0074603B" w:rsidP="00507C24">
      <w:pPr>
        <w:pStyle w:val="Listaszerbekezds"/>
        <w:numPr>
          <w:ilvl w:val="2"/>
          <w:numId w:val="4"/>
        </w:numPr>
        <w:spacing w:before="100" w:line="276" w:lineRule="auto"/>
        <w:contextualSpacing w:val="0"/>
      </w:pPr>
      <w:r>
        <w:t>nem áll csőd-, felszámolási- vagy végelszámolási eljárás</w:t>
      </w:r>
      <w:r w:rsidR="005C4F70">
        <w:t>, vagy büntetőjogi intézkedés hatálya</w:t>
      </w:r>
      <w:r>
        <w:t xml:space="preserve"> alatt</w:t>
      </w:r>
      <w:r w:rsidR="002C556A">
        <w:t xml:space="preserve">, és </w:t>
      </w:r>
    </w:p>
    <w:p w14:paraId="2D63EB39" w14:textId="7051F457" w:rsidR="00D77D28" w:rsidRDefault="00D77D28" w:rsidP="00507C24">
      <w:pPr>
        <w:pStyle w:val="Listaszerbekezds"/>
        <w:numPr>
          <w:ilvl w:val="2"/>
          <w:numId w:val="4"/>
        </w:numPr>
        <w:spacing w:before="100" w:line="276" w:lineRule="auto"/>
        <w:contextualSpacing w:val="0"/>
      </w:pPr>
      <w:r>
        <w:t xml:space="preserve">az </w:t>
      </w:r>
      <w:r w:rsidR="002C556A">
        <w:t xml:space="preserve">Európai </w:t>
      </w:r>
      <w:r>
        <w:t xml:space="preserve">Gazdasági Térség </w:t>
      </w:r>
      <w:r w:rsidR="002C556A">
        <w:t xml:space="preserve">területén </w:t>
      </w:r>
      <w:r>
        <w:t>rendelkezik székhellyel,</w:t>
      </w:r>
    </w:p>
    <w:p w14:paraId="6C79A89F" w14:textId="5C98B065" w:rsidR="002C556A" w:rsidRDefault="005C4F70" w:rsidP="00507C24">
      <w:pPr>
        <w:pStyle w:val="Cmsor3"/>
      </w:pPr>
      <w:r>
        <w:t>a visszaélés-bejelentési rendszer működte</w:t>
      </w:r>
      <w:r w:rsidR="0077506B">
        <w:t>tésére vonatkozó tevékenység</w:t>
      </w:r>
      <w:r w:rsidR="00C25E01">
        <w:t xml:space="preserve">éből eredő károk, valamint sérelemdíj megfizetésének fedezetének biztosítására olyan felelősségbiztosítással rendelkezik, amelynek a káreseményenként számított </w:t>
      </w:r>
      <w:r w:rsidR="0077506B">
        <w:t xml:space="preserve">minimális összege </w:t>
      </w:r>
      <w:r w:rsidR="00C25E01">
        <w:t xml:space="preserve">eléri az </w:t>
      </w:r>
      <w:r w:rsidR="00C25E01" w:rsidRPr="00C25E01">
        <w:t>ügyvédi tevékenységből eredő károk, valamint sérelemdíj biztosításához szükséges felelősségbiztosítás káreseményenként számított legalacsonyabb összeg</w:t>
      </w:r>
      <w:r w:rsidR="00C25E01">
        <w:t>ét,</w:t>
      </w:r>
      <w:r w:rsidR="005921CF">
        <w:t xml:space="preserve"> valamint</w:t>
      </w:r>
    </w:p>
    <w:p w14:paraId="5916D1EA" w14:textId="1C722A60" w:rsidR="00B965FA" w:rsidRPr="00B965FA" w:rsidRDefault="00B965FA" w:rsidP="00507C24">
      <w:pPr>
        <w:pStyle w:val="Cmsor3"/>
      </w:pPr>
      <w:r>
        <w:t xml:space="preserve">megfelel </w:t>
      </w:r>
      <w:r w:rsidRPr="00B965FA">
        <w:t>a panaszokról, a közérdekű bejelentésekről, valamint a visszaélések bejelentésével összefüggő szabályokról</w:t>
      </w:r>
      <w:r>
        <w:t xml:space="preserve"> szóló törvény szerinti a bejelentővédelmi ügyvédre vonatkozó összeférhetetlenségi és pártatlansági szabályoknak.</w:t>
      </w:r>
    </w:p>
    <w:p w14:paraId="11F2FF0D" w14:textId="77777777" w:rsidR="00D42B59" w:rsidRPr="00B4618B" w:rsidRDefault="00D42B59" w:rsidP="00507C24">
      <w:pPr>
        <w:pStyle w:val="Cmsor1"/>
      </w:pPr>
      <w:r w:rsidRPr="00B4618B">
        <w:t xml:space="preserve">Külső szervezet megbízásával </w:t>
      </w:r>
      <w:r w:rsidRPr="00B965FA">
        <w:t>kapcsolatos</w:t>
      </w:r>
      <w:r w:rsidRPr="00B4618B">
        <w:t xml:space="preserve"> követelmények</w:t>
      </w:r>
    </w:p>
    <w:p w14:paraId="6B052163" w14:textId="0A0FC0C1" w:rsidR="005921CF" w:rsidRDefault="000867F2" w:rsidP="00013C9B">
      <w:pPr>
        <w:pStyle w:val="Listaszerbekezds"/>
        <w:numPr>
          <w:ilvl w:val="1"/>
          <w:numId w:val="4"/>
        </w:numPr>
        <w:spacing w:before="200" w:line="276" w:lineRule="auto"/>
        <w:contextualSpacing w:val="0"/>
      </w:pPr>
      <w:r>
        <w:t xml:space="preserve">Az </w:t>
      </w:r>
      <w:r w:rsidRPr="00B965FA">
        <w:t>ügyvéd</w:t>
      </w:r>
      <w:r>
        <w:t xml:space="preserve">, </w:t>
      </w:r>
      <w:r w:rsidRPr="00D77D28">
        <w:t>az</w:t>
      </w:r>
      <w:r>
        <w:t xml:space="preserve"> európai közösségi jogász, az ügyvédi iroda és az európai közösségi jogászi iroda</w:t>
      </w:r>
      <w:r w:rsidR="00E22864">
        <w:t xml:space="preserve"> </w:t>
      </w:r>
      <w:r>
        <w:t xml:space="preserve">(a továbbiakban: </w:t>
      </w:r>
      <w:r w:rsidR="00BD070D">
        <w:t>megbízó</w:t>
      </w:r>
      <w:r>
        <w:t xml:space="preserve">) külső szervezetet a </w:t>
      </w:r>
      <w:r w:rsidR="00E22864">
        <w:t xml:space="preserve">visszaélés-bejelentési rendszer működtetésére szóló </w:t>
      </w:r>
      <w:r>
        <w:t xml:space="preserve">írásbeli </w:t>
      </w:r>
      <w:r w:rsidR="00E22864">
        <w:t>megbízási szerződés</w:t>
      </w:r>
      <w:r w:rsidR="005921CF">
        <w:t xml:space="preserve"> (a továbbiakban: megbízási szerződés)</w:t>
      </w:r>
      <w:r w:rsidR="00E22864">
        <w:t xml:space="preserve"> </w:t>
      </w:r>
      <w:r>
        <w:t>alapján vehet igénybe</w:t>
      </w:r>
      <w:r w:rsidR="00E22864">
        <w:t>.</w:t>
      </w:r>
    </w:p>
    <w:p w14:paraId="36776576" w14:textId="77777777" w:rsidR="00CE4504" w:rsidRDefault="00CE4504" w:rsidP="00CE4504">
      <w:pPr>
        <w:pStyle w:val="Cmsor2"/>
      </w:pPr>
      <w:r>
        <w:t>A külső szervezettel kötött megbízási szerződésnek tartalmaznia kell, hogy a megbízás a bejelentés vizsgálatának a lefolytatására is kiterjed.</w:t>
      </w:r>
    </w:p>
    <w:p w14:paraId="5ACD3E8F" w14:textId="58C6B330" w:rsidR="00E22864" w:rsidRDefault="00E22864" w:rsidP="0007388E">
      <w:pPr>
        <w:pStyle w:val="Listaszerbekezds"/>
        <w:numPr>
          <w:ilvl w:val="1"/>
          <w:numId w:val="4"/>
        </w:numPr>
        <w:spacing w:before="200" w:line="276" w:lineRule="auto"/>
        <w:contextualSpacing w:val="0"/>
      </w:pPr>
      <w:r>
        <w:lastRenderedPageBreak/>
        <w:t xml:space="preserve">A </w:t>
      </w:r>
      <w:r w:rsidR="005921CF">
        <w:t xml:space="preserve">megbízási </w:t>
      </w:r>
      <w:r>
        <w:t>szerződés időtartama határozott idő esetén nem lehet egy évnél rövidebb</w:t>
      </w:r>
      <w:r w:rsidR="00B965FA">
        <w:t>. A megbízási szerződésben</w:t>
      </w:r>
      <w:r>
        <w:t xml:space="preserve"> a rendes felmondási idő nem lehet hat hónapnál rövidebb.</w:t>
      </w:r>
    </w:p>
    <w:p w14:paraId="25925C54" w14:textId="77777777" w:rsidR="0074603B" w:rsidRDefault="00A63C92" w:rsidP="0007388E">
      <w:pPr>
        <w:pStyle w:val="Listaszerbekezds"/>
        <w:numPr>
          <w:ilvl w:val="1"/>
          <w:numId w:val="4"/>
        </w:numPr>
        <w:spacing w:before="200" w:line="276" w:lineRule="auto"/>
        <w:contextualSpacing w:val="0"/>
      </w:pPr>
      <w:r>
        <w:t xml:space="preserve">A külső szervezet a megbízási szerződésben köteles </w:t>
      </w:r>
      <w:r w:rsidR="0074603B">
        <w:t>megfelelő garanciákat nyújt</w:t>
      </w:r>
      <w:r>
        <w:t>ani</w:t>
      </w:r>
      <w:r w:rsidR="0074603B">
        <w:t xml:space="preserve"> a</w:t>
      </w:r>
      <w:r w:rsidR="0074603B" w:rsidRPr="00494472">
        <w:t xml:space="preserve"> panaszokról, a közérdekű bejelentésekről, valamint a visszaélések bejelentésével összefüggő szabályokról szóló törvényben</w:t>
      </w:r>
      <w:r w:rsidR="0074603B">
        <w:t xml:space="preserve"> foglalt követelményeknek való megfelelés, illetve a bejelentő-védelem, valamint az </w:t>
      </w:r>
      <w:r w:rsidR="0074603B" w:rsidRPr="00494472">
        <w:t xml:space="preserve">ügyvédi titok kezeléséhez, illetve a titoktartás </w:t>
      </w:r>
      <w:r>
        <w:t>megtartásához</w:t>
      </w:r>
      <w:r w:rsidR="0074603B" w:rsidRPr="00494472">
        <w:t xml:space="preserve"> szükséges</w:t>
      </w:r>
      <w:r w:rsidR="0074603B">
        <w:t xml:space="preserve"> követelmények </w:t>
      </w:r>
      <w:r>
        <w:t>biztosítására</w:t>
      </w:r>
      <w:r w:rsidR="0074603B">
        <w:t xml:space="preserve">. </w:t>
      </w:r>
    </w:p>
    <w:p w14:paraId="662B61A6" w14:textId="548B2E10" w:rsidR="00E22864" w:rsidRDefault="00B965FA" w:rsidP="0007388E">
      <w:pPr>
        <w:pStyle w:val="Listaszerbekezds"/>
        <w:numPr>
          <w:ilvl w:val="1"/>
          <w:numId w:val="4"/>
        </w:numPr>
        <w:spacing w:before="200" w:line="276" w:lineRule="auto"/>
        <w:contextualSpacing w:val="0"/>
      </w:pPr>
      <w:r>
        <w:t>Megbízási szerződés csak olyan</w:t>
      </w:r>
      <w:r w:rsidR="00A31DB5">
        <w:t xml:space="preserve"> külső szervezet</w:t>
      </w:r>
      <w:r>
        <w:t xml:space="preserve">tel köthető, amely a megbízási szerződésben </w:t>
      </w:r>
      <w:r w:rsidR="00A31DB5">
        <w:t xml:space="preserve">kötelezettséget vállal arra, hogy </w:t>
      </w:r>
      <w:r w:rsidR="00E22864">
        <w:t>a</w:t>
      </w:r>
      <w:r w:rsidR="00BD070D">
        <w:t xml:space="preserve"> megbízással érintett </w:t>
      </w:r>
      <w:r>
        <w:t xml:space="preserve">tevékenységében közreműködő </w:t>
      </w:r>
      <w:r w:rsidR="00E22864">
        <w:t xml:space="preserve">vagy </w:t>
      </w:r>
      <w:r>
        <w:t xml:space="preserve">a tevékenység adatait megismerő </w:t>
      </w:r>
      <w:r w:rsidR="00E22864">
        <w:t>munkavállalója vagy egyéb közreműködőj</w:t>
      </w:r>
      <w:r>
        <w:t xml:space="preserve">ét tájékoztatja arról, hogy ügyvédi </w:t>
      </w:r>
      <w:r w:rsidR="00E22864">
        <w:t>titoktartási kötelezettség hatálya alatt áll</w:t>
      </w:r>
      <w:r>
        <w:t>, valamint az ügyvédi titoktartási kötelezettség tartalmáról</w:t>
      </w:r>
      <w:r w:rsidR="00E22864">
        <w:t xml:space="preserve">. </w:t>
      </w:r>
    </w:p>
    <w:p w14:paraId="258B89E8" w14:textId="77777777" w:rsidR="00670FF3" w:rsidRDefault="00FA3B38" w:rsidP="0007388E">
      <w:pPr>
        <w:pStyle w:val="Listaszerbekezds"/>
        <w:numPr>
          <w:ilvl w:val="1"/>
          <w:numId w:val="4"/>
        </w:numPr>
        <w:spacing w:before="200" w:line="276" w:lineRule="auto"/>
        <w:contextualSpacing w:val="0"/>
      </w:pPr>
      <w:r>
        <w:t>A megbízási szerződésben meg kell határozni a bejelentéssel kapcsolatos adatokhoz való hozzáférés feltételeit és az adatok megismerésére jogosultak körét</w:t>
      </w:r>
      <w:r w:rsidR="00B965FA">
        <w:t xml:space="preserve"> úgy</w:t>
      </w:r>
      <w:r>
        <w:t>, hogy az ügyvédi titkot tartalmazó adatokhoz kizárólag azo</w:t>
      </w:r>
      <w:r w:rsidR="000867F2">
        <w:t>k és annyiba</w:t>
      </w:r>
      <w:r>
        <w:t xml:space="preserve">n férjenek hozzá, akiknek </w:t>
      </w:r>
      <w:r w:rsidR="000867F2">
        <w:t xml:space="preserve">és amennyiben a megbízás ellátásához ez </w:t>
      </w:r>
      <w:r>
        <w:t xml:space="preserve">feltétlenül szükséges. </w:t>
      </w:r>
    </w:p>
    <w:p w14:paraId="34505B97" w14:textId="47FBD896" w:rsidR="00FA3B38" w:rsidRDefault="00670FF3" w:rsidP="0007388E">
      <w:pPr>
        <w:pStyle w:val="Listaszerbekezds"/>
        <w:numPr>
          <w:ilvl w:val="1"/>
          <w:numId w:val="4"/>
        </w:numPr>
        <w:spacing w:before="200" w:line="276" w:lineRule="auto"/>
        <w:contextualSpacing w:val="0"/>
      </w:pPr>
      <w:r>
        <w:t xml:space="preserve">A megbízási szerződésben a </w:t>
      </w:r>
      <w:r w:rsidR="00013614">
        <w:t>külső szervezetnek</w:t>
      </w:r>
      <w:r>
        <w:t xml:space="preserve"> kötelezettséget </w:t>
      </w:r>
      <w:r w:rsidR="00013614">
        <w:t xml:space="preserve">kell </w:t>
      </w:r>
      <w:r>
        <w:t>vállal</w:t>
      </w:r>
      <w:r w:rsidR="00013614">
        <w:t>nia arra</w:t>
      </w:r>
      <w:r>
        <w:t xml:space="preserve">, hogy az ügyvédi titok hatálya alatt álló iratokat egyéb irataitól elkülönítve, zártan kezeli és tárolja, illetve az elektronikus iratokhoz való hozzáférést informatikailag korlátozza oly módon, hogy azt csak az arra jogosultak ismerhessék meg. </w:t>
      </w:r>
    </w:p>
    <w:p w14:paraId="527BDFAE" w14:textId="55768ADF" w:rsidR="009D510B" w:rsidRDefault="009D510B" w:rsidP="0007388E">
      <w:pPr>
        <w:pStyle w:val="Listaszerbekezds"/>
        <w:numPr>
          <w:ilvl w:val="1"/>
          <w:numId w:val="4"/>
        </w:numPr>
        <w:spacing w:before="200" w:line="276" w:lineRule="auto"/>
        <w:contextualSpacing w:val="0"/>
      </w:pPr>
      <w:r>
        <w:t xml:space="preserve">A megbízási szerződésben a külső szervezetnek kötelezettséget kell vállalnia, hogy a birtokába került, ügyvédi titok hatálya alatt álló iratokat a vizsgálat lezárását követően csak a szükséges mértékben és ideig őrzi meg, illetve ahhoz kizárólag </w:t>
      </w:r>
      <w:r w:rsidR="00381AE1">
        <w:t xml:space="preserve">a külső szervezet vezető tisztségviselője férhet hozzá. </w:t>
      </w:r>
    </w:p>
    <w:p w14:paraId="04C99639" w14:textId="25C5A800" w:rsidR="00B85FFD" w:rsidRDefault="00A37031" w:rsidP="0007388E">
      <w:pPr>
        <w:pStyle w:val="Listaszerbekezds"/>
        <w:numPr>
          <w:ilvl w:val="1"/>
          <w:numId w:val="4"/>
        </w:numPr>
        <w:spacing w:before="200" w:line="276" w:lineRule="auto"/>
        <w:contextualSpacing w:val="0"/>
      </w:pPr>
      <w:r>
        <w:t xml:space="preserve">A </w:t>
      </w:r>
      <w:r w:rsidR="00164B94">
        <w:t>megbízó</w:t>
      </w:r>
      <w:r w:rsidR="00B85FFD">
        <w:t xml:space="preserve"> a megbízási szerződésben kötelezettséget vállal arra, hogy tájékoztatja a külső </w:t>
      </w:r>
      <w:r w:rsidR="00B85FFD" w:rsidRPr="002E7E21">
        <w:t xml:space="preserve">szervezetet </w:t>
      </w:r>
      <w:r w:rsidR="000867F2" w:rsidRPr="002E7E21">
        <w:t xml:space="preserve">arról, hogy </w:t>
      </w:r>
      <w:r w:rsidR="00B85FFD" w:rsidRPr="002E7E21">
        <w:t xml:space="preserve">az átadott, vagy a külső szervezet által megismert és az eljárás során a </w:t>
      </w:r>
      <w:r w:rsidR="00E2390D" w:rsidRPr="002E7E21">
        <w:t>megbízó</w:t>
      </w:r>
      <w:r w:rsidR="00B85FFD" w:rsidRPr="002E7E21">
        <w:t xml:space="preserve"> tudomására jutott információk közül mi képezi ügyvédi titok tárgyát.</w:t>
      </w:r>
      <w:r w:rsidR="000867F2" w:rsidRPr="002E7E21">
        <w:t xml:space="preserve"> A felek az e</w:t>
      </w:r>
      <w:r w:rsidR="000867F2">
        <w:t xml:space="preserve"> pont szerinti kötelezettségüknek úgy is eleget tehetnek, ha a szerződésben a </w:t>
      </w:r>
      <w:r w:rsidR="00E2390D">
        <w:t>megbízó</w:t>
      </w:r>
      <w:r w:rsidR="000867F2">
        <w:t xml:space="preserve"> arra vállal kötelezettséget, hogy </w:t>
      </w:r>
      <w:r w:rsidR="00E45CA2">
        <w:t xml:space="preserve">megjelöli, hogy </w:t>
      </w:r>
      <w:r w:rsidR="000867F2">
        <w:t>a külső szervezet által megismert adatok közül mi nem minősül ügyvédi titoknak.</w:t>
      </w:r>
    </w:p>
    <w:p w14:paraId="17213E7A" w14:textId="50BDE0A0" w:rsidR="0074603B" w:rsidRDefault="000867F2" w:rsidP="0007388E">
      <w:pPr>
        <w:pStyle w:val="Listaszerbekezds"/>
        <w:numPr>
          <w:ilvl w:val="1"/>
          <w:numId w:val="4"/>
        </w:numPr>
        <w:spacing w:before="200" w:line="276" w:lineRule="auto"/>
        <w:contextualSpacing w:val="0"/>
      </w:pPr>
      <w:r>
        <w:t>Megbízási szerződés csak olyan külső szervezettel köthető, amely a megbízási szerződésben kötelezettséget vállal arra, hogy</w:t>
      </w:r>
      <w:r w:rsidR="00B85FFD">
        <w:t xml:space="preserve"> a </w:t>
      </w:r>
      <w:r w:rsidR="003F3C14">
        <w:t>megbízót</w:t>
      </w:r>
      <w:r w:rsidR="00B85FFD">
        <w:t xml:space="preserve"> tájékoztatja</w:t>
      </w:r>
      <w:r>
        <w:t xml:space="preserve"> arról</w:t>
      </w:r>
      <w:r w:rsidR="00B85FFD">
        <w:t xml:space="preserve">, </w:t>
      </w:r>
      <w:r>
        <w:t xml:space="preserve">ha vele szemben </w:t>
      </w:r>
      <w:r w:rsidR="00B85FFD">
        <w:t>a</w:t>
      </w:r>
      <w:r w:rsidR="00566BCA" w:rsidRPr="00566BCA">
        <w:t xml:space="preserve"> panaszokról, a közérdekű bejelentésekről, valamint a visszaélések bejelentésével összefüggő szabályokról</w:t>
      </w:r>
      <w:r w:rsidR="00566BCA">
        <w:t xml:space="preserve"> szóló törvény </w:t>
      </w:r>
      <w:r>
        <w:t xml:space="preserve">szerint a bejelentővédelmi ügyvédre irányadó </w:t>
      </w:r>
      <w:r w:rsidR="00B85FFD">
        <w:t xml:space="preserve">összeférhetetlenségi ok </w:t>
      </w:r>
      <w:r>
        <w:t>merül fel</w:t>
      </w:r>
      <w:r w:rsidR="00B85FFD">
        <w:t>.</w:t>
      </w:r>
      <w:r w:rsidR="006911AE">
        <w:t xml:space="preserve"> A megbízási szerződésnek tartalmaznia kell, hogy amennyiben a külső szervezet az összeférhetetlenségi ok bekövetkezéséről a megbízót nem tájékoztatja, vagy az összeférhetetlenségi okot 30 napon belül nem szünteti meg, vagy az összeférhetetlenségi ok nem szüntethető meg, a megbízó </w:t>
      </w:r>
      <w:r w:rsidR="00796FFD">
        <w:t>jogosult a sze</w:t>
      </w:r>
      <w:r w:rsidR="006911AE">
        <w:t>r</w:t>
      </w:r>
      <w:r w:rsidR="00796FFD">
        <w:t>z</w:t>
      </w:r>
      <w:r w:rsidR="006911AE">
        <w:t xml:space="preserve">ődést azonnali hatállyal felmondani. </w:t>
      </w:r>
    </w:p>
    <w:p w14:paraId="497681BD" w14:textId="7A9F264E" w:rsidR="00FB5B6E" w:rsidRDefault="0091507A" w:rsidP="0007388E">
      <w:pPr>
        <w:pStyle w:val="Listaszerbekezds"/>
        <w:numPr>
          <w:ilvl w:val="1"/>
          <w:numId w:val="4"/>
        </w:numPr>
        <w:spacing w:before="200" w:line="276" w:lineRule="auto"/>
        <w:contextualSpacing w:val="0"/>
      </w:pPr>
      <w:r>
        <w:lastRenderedPageBreak/>
        <w:t xml:space="preserve">A megbízási szerződésnek tartalmaznia kell, hogy a bejelentésre jogosultak tájékoztatására vonatkozó kötelezettség a </w:t>
      </w:r>
      <w:r w:rsidR="003F3C14">
        <w:t>megbízót</w:t>
      </w:r>
      <w:r w:rsidR="00990632">
        <w:t xml:space="preserve">, a vizsgálat során a pártatlanság követelményének a biztosítása a </w:t>
      </w:r>
      <w:r w:rsidR="00FA3B38">
        <w:t>külső szervezet</w:t>
      </w:r>
      <w:r w:rsidR="00A37031">
        <w:t>et terheli</w:t>
      </w:r>
      <w:r w:rsidR="00D50E2E">
        <w:t xml:space="preserve">. </w:t>
      </w:r>
    </w:p>
    <w:p w14:paraId="32E6ABCA" w14:textId="382B3160" w:rsidR="00BD070D" w:rsidRDefault="00BD070D" w:rsidP="00BD070D">
      <w:pPr>
        <w:pStyle w:val="Listaszerbekezds"/>
        <w:numPr>
          <w:ilvl w:val="1"/>
          <w:numId w:val="4"/>
        </w:numPr>
        <w:spacing w:before="200" w:line="276" w:lineRule="auto"/>
        <w:contextualSpacing w:val="0"/>
      </w:pPr>
      <w:r>
        <w:t>A megbízási szerződésben meg kell határozni továbbá</w:t>
      </w:r>
    </w:p>
    <w:p w14:paraId="56592E30" w14:textId="77777777" w:rsidR="00BD070D" w:rsidRDefault="00BD070D" w:rsidP="00BD070D">
      <w:pPr>
        <w:pStyle w:val="Cmsor3"/>
      </w:pPr>
      <w:r>
        <w:t>a bejelentések fogadásának csatornáit,</w:t>
      </w:r>
    </w:p>
    <w:p w14:paraId="364DBE0E" w14:textId="7C56034E" w:rsidR="00BD070D" w:rsidRDefault="00BD070D" w:rsidP="00BD070D">
      <w:pPr>
        <w:pStyle w:val="Cmsor3"/>
      </w:pPr>
      <w:r>
        <w:t>a bejelentés vizsgálatával kapcsolatos feladatköröket,</w:t>
      </w:r>
    </w:p>
    <w:p w14:paraId="5F80F806" w14:textId="77777777" w:rsidR="00BD070D" w:rsidRDefault="00BD070D" w:rsidP="00BD070D">
      <w:pPr>
        <w:pStyle w:val="Cmsor3"/>
      </w:pPr>
      <w:r>
        <w:t>a bejelentéssel kapcsolatos adatokhoz való hozzáférés feltételeit és az adatok megismerésére jogosultak körét,</w:t>
      </w:r>
    </w:p>
    <w:p w14:paraId="71B7EF52" w14:textId="77777777" w:rsidR="00BD070D" w:rsidRDefault="00BD070D" w:rsidP="00BD070D">
      <w:pPr>
        <w:pStyle w:val="Cmsor3"/>
      </w:pPr>
      <w:r>
        <w:t xml:space="preserve">a személyes adatok védelmének garanciáit, </w:t>
      </w:r>
    </w:p>
    <w:p w14:paraId="38650145" w14:textId="77777777" w:rsidR="00BD070D" w:rsidRPr="00B63EF7" w:rsidRDefault="00BD070D" w:rsidP="00BD070D">
      <w:pPr>
        <w:pStyle w:val="Cmsor3"/>
      </w:pPr>
      <w:r w:rsidRPr="00B63EF7">
        <w:t>a bejelentéssel kapcsolatos adatok törlésének módját és idejét,</w:t>
      </w:r>
    </w:p>
    <w:p w14:paraId="15EE7DE0" w14:textId="76724D7F" w:rsidR="00BD070D" w:rsidRDefault="00BD070D" w:rsidP="00BD070D">
      <w:pPr>
        <w:pStyle w:val="Cmsor3"/>
      </w:pPr>
      <w:r w:rsidRPr="00E51A57">
        <w:t xml:space="preserve">a </w:t>
      </w:r>
      <w:r>
        <w:t>vizsgálattal</w:t>
      </w:r>
      <w:r w:rsidRPr="00E51A57">
        <w:t xml:space="preserve"> kapcsolatos feladatok elmulasztásábó</w:t>
      </w:r>
      <w:r>
        <w:t>l eredő felelősségi szabályokat</w:t>
      </w:r>
      <w:r w:rsidR="00162C12">
        <w:t>, amennyiben azok eltérnek a vonatkozó jogszabályi rendelkezésektől.</w:t>
      </w:r>
    </w:p>
    <w:p w14:paraId="72C89E9E" w14:textId="622AE145" w:rsidR="00A37031" w:rsidRDefault="00A37031" w:rsidP="00507C24">
      <w:pPr>
        <w:pStyle w:val="Cmsor1"/>
      </w:pPr>
      <w:r>
        <w:t>Záró rendelkezések</w:t>
      </w:r>
    </w:p>
    <w:p w14:paraId="7D6721E1" w14:textId="06D6A019" w:rsidR="00692F22" w:rsidRDefault="00592E70" w:rsidP="00507C24">
      <w:pPr>
        <w:pStyle w:val="Cmsor2"/>
      </w:pPr>
      <w:r w:rsidRPr="00592E70">
        <w:t xml:space="preserve">Ez a szabályzat </w:t>
      </w:r>
      <w:r w:rsidR="00652500">
        <w:t>a</w:t>
      </w:r>
      <w:r w:rsidR="008D1989">
        <w:t xml:space="preserve"> Magyar Ügyvédi Kamara honlapján történő</w:t>
      </w:r>
      <w:r w:rsidR="00652500">
        <w:t xml:space="preserve"> </w:t>
      </w:r>
      <w:r w:rsidR="008D1989">
        <w:t>közzétételét követő napon</w:t>
      </w:r>
      <w:r w:rsidRPr="00592E70">
        <w:t xml:space="preserve"> lép hatályba.</w:t>
      </w:r>
    </w:p>
    <w:p w14:paraId="21B7DE2A" w14:textId="17FB239E" w:rsidR="00652500" w:rsidRDefault="00652500" w:rsidP="00507C24">
      <w:pPr>
        <w:pStyle w:val="Cmsor2"/>
      </w:pPr>
      <w:r>
        <w:t>A</w:t>
      </w:r>
      <w:r w:rsidR="00A37031">
        <w:t>z e</w:t>
      </w:r>
      <w:r>
        <w:t xml:space="preserve"> szabályzat hatálybalépés</w:t>
      </w:r>
      <w:r w:rsidR="00CE4504">
        <w:t xml:space="preserve">ekor </w:t>
      </w:r>
      <w:r w:rsidR="00A37031">
        <w:t xml:space="preserve">a visszaélés-bejelentési rendszer működtetésére már szerződéssel rendelkező </w:t>
      </w:r>
      <w:r w:rsidR="00E2390D">
        <w:t>megbízó</w:t>
      </w:r>
      <w:r w:rsidR="00A37031">
        <w:t xml:space="preserve"> e szabályzat rendelkezéseinek az e szabályzat hatályba lépését követő hatvan napon belül </w:t>
      </w:r>
      <w:r w:rsidR="00CE4504">
        <w:t xml:space="preserve">köteles </w:t>
      </w:r>
      <w:r w:rsidR="00A37031">
        <w:t>megfelelni</w:t>
      </w:r>
      <w:r w:rsidR="008D1989">
        <w:t xml:space="preserve">. </w:t>
      </w:r>
    </w:p>
    <w:p w14:paraId="4B172213" w14:textId="77777777" w:rsidR="0088014D" w:rsidRDefault="0088014D" w:rsidP="0088014D"/>
    <w:p w14:paraId="64D67D12" w14:textId="77777777" w:rsidR="0004006B" w:rsidRPr="003010F8" w:rsidRDefault="0004006B" w:rsidP="0004006B">
      <w:pPr>
        <w:spacing w:before="200" w:line="276" w:lineRule="auto"/>
      </w:pPr>
      <w:r w:rsidRPr="003010F8">
        <w:t>Budapest, 2023. november 27.</w:t>
      </w:r>
    </w:p>
    <w:p w14:paraId="13890617" w14:textId="77777777" w:rsidR="0004006B" w:rsidRPr="003010F8" w:rsidRDefault="0004006B" w:rsidP="0004006B">
      <w:pPr>
        <w:spacing w:before="200" w:line="276" w:lineRule="auto"/>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04006B" w:rsidRPr="003010F8" w14:paraId="61FAABB6" w14:textId="77777777" w:rsidTr="009F18CE">
        <w:tc>
          <w:tcPr>
            <w:tcW w:w="4531" w:type="dxa"/>
          </w:tcPr>
          <w:p w14:paraId="0ABB5F13" w14:textId="77777777" w:rsidR="0004006B" w:rsidRPr="003010F8" w:rsidRDefault="0004006B" w:rsidP="009F18CE">
            <w:pPr>
              <w:spacing w:before="200" w:line="276" w:lineRule="auto"/>
              <w:jc w:val="center"/>
              <w:rPr>
                <w:b/>
                <w:bCs/>
              </w:rPr>
            </w:pPr>
            <w:r w:rsidRPr="003010F8">
              <w:rPr>
                <w:b/>
                <w:bCs/>
              </w:rPr>
              <w:t>Dr. Havasi Dezső</w:t>
            </w:r>
            <w:r w:rsidRPr="003010F8">
              <w:rPr>
                <w:b/>
                <w:bCs/>
              </w:rPr>
              <w:br/>
              <w:t>elnök</w:t>
            </w:r>
          </w:p>
        </w:tc>
        <w:tc>
          <w:tcPr>
            <w:tcW w:w="4531" w:type="dxa"/>
          </w:tcPr>
          <w:p w14:paraId="513B10A7" w14:textId="77777777" w:rsidR="0004006B" w:rsidRPr="003010F8" w:rsidRDefault="0004006B" w:rsidP="009F18CE">
            <w:pPr>
              <w:spacing w:before="200" w:line="276" w:lineRule="auto"/>
              <w:jc w:val="center"/>
              <w:rPr>
                <w:b/>
                <w:bCs/>
              </w:rPr>
            </w:pPr>
            <w:r w:rsidRPr="003010F8">
              <w:rPr>
                <w:b/>
                <w:bCs/>
              </w:rPr>
              <w:t>Dr. Holczer Ferenc</w:t>
            </w:r>
            <w:r w:rsidRPr="003010F8">
              <w:rPr>
                <w:b/>
                <w:bCs/>
              </w:rPr>
              <w:br/>
              <w:t>főtitkár</w:t>
            </w:r>
          </w:p>
        </w:tc>
      </w:tr>
    </w:tbl>
    <w:p w14:paraId="689A452C" w14:textId="77777777" w:rsidR="0004006B" w:rsidRPr="003010F8" w:rsidRDefault="0004006B" w:rsidP="0004006B">
      <w:pPr>
        <w:rPr>
          <w:b/>
          <w:bCs/>
          <w:spacing w:val="-5"/>
          <w:kern w:val="36"/>
        </w:rPr>
      </w:pPr>
      <w:r w:rsidRPr="003010F8">
        <w:rPr>
          <w:b/>
          <w:bCs/>
          <w:spacing w:val="-5"/>
          <w:kern w:val="36"/>
        </w:rPr>
        <w:br w:type="page"/>
      </w:r>
    </w:p>
    <w:p w14:paraId="0B505131" w14:textId="38910476" w:rsidR="0088014D" w:rsidRDefault="0088014D" w:rsidP="0088014D">
      <w:pPr>
        <w:pStyle w:val="Cm"/>
        <w:spacing w:after="0"/>
      </w:pPr>
      <w:r>
        <w:lastRenderedPageBreak/>
        <w:t>INDOKOLÁS</w:t>
      </w:r>
    </w:p>
    <w:p w14:paraId="2455D16F" w14:textId="77777777" w:rsidR="0088014D" w:rsidRDefault="0088014D" w:rsidP="0088014D"/>
    <w:p w14:paraId="573E66B4" w14:textId="77777777" w:rsidR="00E41EF7" w:rsidRDefault="00E41EF7" w:rsidP="00E41EF7">
      <w:pPr>
        <w:rPr>
          <w:lang w:eastAsia="en-US"/>
        </w:rPr>
      </w:pPr>
      <w:r>
        <w:rPr>
          <w:lang w:eastAsia="en-US"/>
        </w:rPr>
        <w:t>Magyarország 2024. évi központi költségvetésének megalapozásáról szóló 2023. évi LIII. törvény 128. §-a az Üttv.-be beiktatta a 194/A. § (4) bekezdését, melynek alapján az ügyvéd, az európai közösségi jogász, az ügyvédi iroda, illetve az európai közösségi jogászi iroda által a belső visszaélés-bejelentési rendszer működtetésével megbízható külső szervezettel, továbbá a vele kötött szerződéssel szemben támasztott - az ügyvédi titok kezeléséhez, illetve a titoktartás biztosításához szükséges – követelményeket a Magyar Ügyvédi Kamara szabályzatban állapítja meg.</w:t>
      </w:r>
    </w:p>
    <w:p w14:paraId="0DAFA029" w14:textId="77777777" w:rsidR="00E41EF7" w:rsidRDefault="00E41EF7" w:rsidP="00E41EF7">
      <w:pPr>
        <w:rPr>
          <w:lang w:eastAsia="en-US"/>
        </w:rPr>
      </w:pPr>
    </w:p>
    <w:p w14:paraId="054D2315" w14:textId="2D126A75" w:rsidR="00E41EF7" w:rsidRDefault="00E41EF7" w:rsidP="00E41EF7">
      <w:pPr>
        <w:rPr>
          <w:lang w:eastAsia="en-US"/>
        </w:rPr>
      </w:pPr>
      <w:r>
        <w:rPr>
          <w:lang w:eastAsia="en-US"/>
        </w:rPr>
        <w:t>E kötelezettségének a Magyar Ügyvédi Kamara jelen szabályzat megalkotásával tesz eleget.</w:t>
      </w:r>
    </w:p>
    <w:p w14:paraId="39405742" w14:textId="77777777" w:rsidR="00E7592F" w:rsidRDefault="00E7592F" w:rsidP="0088014D"/>
    <w:p w14:paraId="2FF6F331" w14:textId="6BE55D2B" w:rsidR="00E7592F" w:rsidRPr="00D919CA" w:rsidRDefault="00E7592F" w:rsidP="00D919CA">
      <w:pPr>
        <w:jc w:val="center"/>
        <w:rPr>
          <w:i/>
          <w:iCs/>
        </w:rPr>
      </w:pPr>
      <w:r w:rsidRPr="00D919CA">
        <w:rPr>
          <w:i/>
          <w:iCs/>
        </w:rPr>
        <w:t>1. ponthoz</w:t>
      </w:r>
    </w:p>
    <w:p w14:paraId="40632932" w14:textId="77777777" w:rsidR="00E7592F" w:rsidRDefault="00E7592F" w:rsidP="0088014D"/>
    <w:p w14:paraId="40A3043C" w14:textId="0CD7989A" w:rsidR="00087F44" w:rsidRDefault="00087F44" w:rsidP="0088014D">
      <w:r>
        <w:t xml:space="preserve">Az Üttv. 194/A. § (4) bekezdése alapján a Magyar Ügyvédi Kamara szabályzatban állapítja meg </w:t>
      </w:r>
      <w:r w:rsidRPr="00087F44">
        <w:t>a belső visszaélés-bejelentési rendszer működtetésével megbízható külső szervezettel</w:t>
      </w:r>
      <w:r>
        <w:t xml:space="preserve"> támasztott követelményeket. A követelmények meghatározásánál különös figyelemmel kell lenni az ügyvédi titok kezelésére és a titoktartás biztosításának követelményére. </w:t>
      </w:r>
    </w:p>
    <w:p w14:paraId="66F711B7" w14:textId="77777777" w:rsidR="00087F44" w:rsidRDefault="00087F44" w:rsidP="00087F44"/>
    <w:p w14:paraId="3A296221" w14:textId="60A64D79" w:rsidR="00087F44" w:rsidRDefault="00087F44" w:rsidP="00087F44">
      <w:r>
        <w:t xml:space="preserve">Az 1. pont a szervezetre vonatkozó minimum elvárásokat és követelményeket fogalmazza meg. </w:t>
      </w:r>
    </w:p>
    <w:p w14:paraId="5DE305DE" w14:textId="77777777" w:rsidR="00087F44" w:rsidRDefault="00087F44" w:rsidP="0088014D"/>
    <w:p w14:paraId="720A428A" w14:textId="10FF839E" w:rsidR="00087F44" w:rsidRDefault="00087F44" w:rsidP="0088014D">
      <w:r>
        <w:t xml:space="preserve">A törvény lehetővé teszi, hogy az Üttv. 194/A. § (1) bekezdésének hatálya alá tartozó foglalkoztató bejelentővédelmi ügyvédet bízzon meg a feladatok ellátásával. Erre tekintettel a bejelentővédelmi ügyvédre vonatkozó szabályok, mint általános zsinórmérték kerültek megjelenítésre a szabályzatban. </w:t>
      </w:r>
    </w:p>
    <w:p w14:paraId="52E10D4E" w14:textId="77777777" w:rsidR="00087F44" w:rsidRDefault="00087F44" w:rsidP="0088014D"/>
    <w:p w14:paraId="51FCC9CD" w14:textId="77777777" w:rsidR="004720CD" w:rsidRDefault="00087F44" w:rsidP="0088014D">
      <w:r>
        <w:t xml:space="preserve">Társadalmi érdek, hogy a Panasztörvény alapján működtetendő belső-visszaélésbejelentési rendszert olyan szolgáltató működtesse, melynek </w:t>
      </w:r>
      <w:proofErr w:type="spellStart"/>
      <w:r w:rsidR="004720CD">
        <w:t>prudens</w:t>
      </w:r>
      <w:proofErr w:type="spellEnd"/>
      <w:r w:rsidR="004720CD">
        <w:t xml:space="preserve"> és jogszerű </w:t>
      </w:r>
      <w:r>
        <w:t xml:space="preserve">működési feltételei biztosítottak. </w:t>
      </w:r>
    </w:p>
    <w:p w14:paraId="1634F80C" w14:textId="77777777" w:rsidR="004720CD" w:rsidRDefault="004720CD" w:rsidP="0088014D"/>
    <w:p w14:paraId="04166367" w14:textId="74FFD901" w:rsidR="00087F44" w:rsidRDefault="00087F44" w:rsidP="0088014D">
      <w:r>
        <w:t xml:space="preserve">Az adatvédelmi </w:t>
      </w:r>
      <w:r w:rsidR="00BA2468">
        <w:t xml:space="preserve">és adatbiztonsági </w:t>
      </w:r>
      <w:r>
        <w:t xml:space="preserve">szabályok indokolttá teszik annak szabályozását, hogy kizárólag az EGT területén székhellyel rendelkező szolgáltató legyen megbízható. </w:t>
      </w:r>
    </w:p>
    <w:p w14:paraId="7332E52B" w14:textId="77777777" w:rsidR="00B8315F" w:rsidRDefault="00B8315F" w:rsidP="0088014D"/>
    <w:p w14:paraId="3573A58A" w14:textId="25B4CF53" w:rsidR="00B8315F" w:rsidRDefault="00B8315F" w:rsidP="0088014D">
      <w:r>
        <w:t xml:space="preserve">A Panasztörvény céljainak biztosítása érdekében a szabályzat a bejelentővédelmi ügyvédre vonatkozó összeférhetetlenségi szabályokat kiterjeszti a megbízható szolgáltatókra is, ezzel biztosítva a pártatlanság követelményének érvényesülését. </w:t>
      </w:r>
    </w:p>
    <w:p w14:paraId="45D2C89F" w14:textId="77777777" w:rsidR="00D067BE" w:rsidRDefault="00D067BE" w:rsidP="0088014D"/>
    <w:p w14:paraId="13B00B13" w14:textId="76212020" w:rsidR="00D067BE" w:rsidRDefault="00D067BE" w:rsidP="0088014D">
      <w:r>
        <w:t xml:space="preserve">A szabályzat előírja a szervezet vonatkozásában felelősségbiztosítás megkötését arra tekintettel, hogy a szervezet tevékenységével összefüggő esetleges károkozás esetén a foglalkoztató megfelelő kártérítésben </w:t>
      </w:r>
      <w:proofErr w:type="spellStart"/>
      <w:r>
        <w:t>részesülhessen</w:t>
      </w:r>
      <w:proofErr w:type="spellEnd"/>
      <w:r>
        <w:t xml:space="preserve">. </w:t>
      </w:r>
    </w:p>
    <w:p w14:paraId="6DF1359C" w14:textId="77777777" w:rsidR="00B8315F" w:rsidRDefault="00B8315F" w:rsidP="0088014D"/>
    <w:p w14:paraId="12B72599" w14:textId="3355BCD5" w:rsidR="00BA2468" w:rsidRPr="00D919CA" w:rsidRDefault="00D919CA" w:rsidP="00D919CA">
      <w:pPr>
        <w:jc w:val="center"/>
        <w:rPr>
          <w:i/>
          <w:iCs/>
        </w:rPr>
      </w:pPr>
      <w:r w:rsidRPr="00D919CA">
        <w:rPr>
          <w:i/>
          <w:iCs/>
        </w:rPr>
        <w:t>2. ponthoz</w:t>
      </w:r>
    </w:p>
    <w:p w14:paraId="42712D3A" w14:textId="77777777" w:rsidR="00BA2468" w:rsidRDefault="00BA2468" w:rsidP="0088014D"/>
    <w:p w14:paraId="43100522" w14:textId="3C310342" w:rsidR="00BC62FB" w:rsidRDefault="00BC62FB" w:rsidP="0088014D">
      <w:r>
        <w:t>Az Üttv. előírja, hogy a szabályzat határozza meg a</w:t>
      </w:r>
      <w:r w:rsidRPr="00087F44">
        <w:t xml:space="preserve"> belső visszaélés-bejelentési rendszer működtetésével megbízható külső</w:t>
      </w:r>
      <w:r>
        <w:t xml:space="preserve"> szervezettel kötött szerződéssel szemben támasztott követelményeket. </w:t>
      </w:r>
    </w:p>
    <w:p w14:paraId="0262B9C4" w14:textId="77777777" w:rsidR="00BC62FB" w:rsidRDefault="00BC62FB" w:rsidP="0088014D"/>
    <w:p w14:paraId="7E4B3161" w14:textId="2ED8B296" w:rsidR="00BC62FB" w:rsidRDefault="00BC62FB" w:rsidP="0088014D">
      <w:r>
        <w:t xml:space="preserve">Mivel a Magyar Ügyvédi Kamara szabályzatai az Üttv. hatálya alá tartozó foglalkoztatókra fogalmazhatnak meg követelményeket, ezért a szabályzatban a megbízott szervezet közvetlenül nem kötelezhető. </w:t>
      </w:r>
      <w:r w:rsidR="004720CD">
        <w:t xml:space="preserve">A szabályzat ezért </w:t>
      </w:r>
      <w:r>
        <w:t>azok</w:t>
      </w:r>
      <w:r w:rsidR="004720CD">
        <w:t>at</w:t>
      </w:r>
      <w:r>
        <w:t xml:space="preserve"> a minimumkövetelmények</w:t>
      </w:r>
      <w:r w:rsidR="004720CD">
        <w:t>et</w:t>
      </w:r>
      <w:r>
        <w:t xml:space="preserve">, melyeket </w:t>
      </w:r>
      <w:r>
        <w:lastRenderedPageBreak/>
        <w:t>a megbízási szerződésbe kell foglalni, a megbízott szervezet részéről vállalt kötelezettség</w:t>
      </w:r>
      <w:r w:rsidR="004720CD">
        <w:t>eket előíró szabályként jelen</w:t>
      </w:r>
      <w:r w:rsidR="00262C98">
        <w:t xml:space="preserve">íti </w:t>
      </w:r>
      <w:r w:rsidR="004720CD">
        <w:t>meg</w:t>
      </w:r>
      <w:r>
        <w:t xml:space="preserve">. </w:t>
      </w:r>
    </w:p>
    <w:p w14:paraId="22D19A90" w14:textId="77777777" w:rsidR="00BC62FB" w:rsidRDefault="00BC62FB" w:rsidP="0088014D"/>
    <w:p w14:paraId="0C57FEEC" w14:textId="5F4B3470" w:rsidR="00BC62FB" w:rsidRDefault="00494A58" w:rsidP="0088014D">
      <w:r>
        <w:t>2.1. Az írásbeliség alapvető elvárás az elszámoltathatóság követelménye alapján. A szabályzat lehetővé teszi ugyanakkor a szerződés elektronikus úton való megkötését, amennyiben az a vonatkozó jogszabályok alapján megfelel az írásbeliség követelményének.</w:t>
      </w:r>
    </w:p>
    <w:p w14:paraId="0234EE9E" w14:textId="77777777" w:rsidR="00494A58" w:rsidRDefault="00494A58" w:rsidP="0088014D"/>
    <w:p w14:paraId="40F82962" w14:textId="06704583" w:rsidR="00494A58" w:rsidRDefault="00494A58" w:rsidP="0088014D">
      <w:r>
        <w:t>2.2. A Panasztörvény a bejelentővédelmi ügyvéd feladataival kapcsolatban fogalmazza meg a belső visszaélés-bejelentési rendszer működtetőjének feladatait</w:t>
      </w:r>
      <w:r w:rsidR="004720CD">
        <w:t xml:space="preserve">, melyek </w:t>
      </w:r>
      <w:r>
        <w:t xml:space="preserve">közül a </w:t>
      </w:r>
      <w:r w:rsidR="004720CD">
        <w:t xml:space="preserve">vizsgálat lefolytatására nem szükségszerűen terjed ki a </w:t>
      </w:r>
      <w:r>
        <w:t>megbízási szerződés</w:t>
      </w:r>
      <w:r w:rsidR="004720CD">
        <w:t>.</w:t>
      </w:r>
      <w:r>
        <w:t xml:space="preserve"> A</w:t>
      </w:r>
      <w:r w:rsidR="004720CD">
        <w:t xml:space="preserve"> szabályzat ezért e rendelkezés mintájára előírja, hogy a</w:t>
      </w:r>
      <w:r>
        <w:t xml:space="preserve"> megbízási szerződésnek rendelkeznie kell arról, hogy a foglalkoztató a vizsgálat lefolytatásával is megbízza-e a külső szervezetet. </w:t>
      </w:r>
    </w:p>
    <w:p w14:paraId="4A8A8350" w14:textId="77777777" w:rsidR="00BC62FB" w:rsidRDefault="00BC62FB" w:rsidP="0088014D"/>
    <w:p w14:paraId="271E035D" w14:textId="7E63AB80" w:rsidR="00BC62FB" w:rsidRDefault="00494A58" w:rsidP="0088014D">
      <w:r>
        <w:t xml:space="preserve">2.3. </w:t>
      </w:r>
      <w:r w:rsidR="00034607">
        <w:t>A bejelentésre jogosultak tájékoztatása és a bejelentők védelme indokolja, hogy a megbízott személye ne változzon folyamatosan, ezért szükséges a felmondási idő korlátozása és a határozott idejű szerződés minimum időtartamának meghatározása.</w:t>
      </w:r>
    </w:p>
    <w:p w14:paraId="24CAB184" w14:textId="77777777" w:rsidR="00034607" w:rsidRDefault="00034607" w:rsidP="0088014D"/>
    <w:p w14:paraId="6305E734" w14:textId="6DA13A79" w:rsidR="00034607" w:rsidRDefault="00034607" w:rsidP="0088014D">
      <w:r>
        <w:t xml:space="preserve">2.4. A megbízási szerződésben </w:t>
      </w:r>
      <w:r w:rsidR="00DA4995">
        <w:t xml:space="preserve">a </w:t>
      </w:r>
      <w:r>
        <w:t xml:space="preserve">megbízottnak megfelelő garanciákat kell nyújtania a Panasztörvény és az Üttv. rendelkezéseinek betarthatósága érdekében. A foglalkoztatók és a megbízások eltérő jellegűek lehetnek, így a konkrét megbízás tekintetében kell vizsgálni, hogy a nyújtott garanciák biztosítják-e az ügyvédi titok kezeléséhez és megtartásához szükséges követelményeket, illetve a Panasztörvény követelményeit, kiemelve a bejelentők védelmét és a pártatlanság követelményét. </w:t>
      </w:r>
    </w:p>
    <w:p w14:paraId="3A66360F" w14:textId="77777777" w:rsidR="00801B95" w:rsidRDefault="00801B95" w:rsidP="0088014D"/>
    <w:p w14:paraId="46AD8BF6" w14:textId="5F561F38" w:rsidR="00801B95" w:rsidRDefault="00801B95" w:rsidP="0088014D">
      <w:r>
        <w:t xml:space="preserve">2.5. Az Üttv. 10. § (4) bekezdés d) pontja alapján a belső visszaélés-bejelentési rendszer működtetője az ügyvédi titkot megismerheti. Az Üttv. 11. § (1) bekezdés alapján a belső visszaélés-bejelentési rendszer működtetője az általa megismert ügyvédi titok megtartására köteles. A szabályzat 2.5. pontja hivatott azt biztosítani, hogy ezen kötelezettségnek tudatában legyen a megbízó érdekében eljáró munkavállalója, aki az ügyvédi titkot megismerheti. Az ügyvédi titok megtartásához fűződő társadalmi érdek indokolja a titoktartásra vonatkozó garanciák elvárását. </w:t>
      </w:r>
    </w:p>
    <w:p w14:paraId="2AF0A932" w14:textId="77777777" w:rsidR="00801B95" w:rsidRDefault="00801B95" w:rsidP="0088014D"/>
    <w:p w14:paraId="6CD99378" w14:textId="0FABB37B" w:rsidR="00801B95" w:rsidRDefault="00801B95" w:rsidP="0088014D">
      <w:r>
        <w:t xml:space="preserve">2.6. A bejelentéssel kapcsolatos adatok – különös tekintettel a személyes adatokra – védelmet élveznek. Különleges védelmet élveznek ezen adatok, amennyiben ügyvédi titoknak minősülnek. Mind az ügyvédi titok megóvása, mint az adatkezelési szabályok betartása szükségessé teszi annak pontos meghatározását, hogy az adatokhoz mely jogosulti kör fér hozzá, illetve azon elvárás kifejezését, hogy az adatokhoz való hozzáférésre kizárólag a megbízás teljesítésével kapcsolatban kerülhet sor. </w:t>
      </w:r>
    </w:p>
    <w:p w14:paraId="52E8A6C8" w14:textId="77777777" w:rsidR="00E7592F" w:rsidRDefault="00E7592F" w:rsidP="0088014D"/>
    <w:p w14:paraId="22789AF2" w14:textId="7383F3BD" w:rsidR="00494A58" w:rsidRDefault="00801B95" w:rsidP="0088014D">
      <w:r>
        <w:t>2.7. Hivatkozva a 2.6. pontban foglaltakra az adatvédelem és az ügyvédi titok védelme szükségessé teszi az adatok zárt kezelését és tárolását, illetve informatikai védelmét. Az ügyvédi titkot tartalmazó iratok elkülönített kezelése az ügyvédi titok megtartása érdekében szükséges.</w:t>
      </w:r>
    </w:p>
    <w:p w14:paraId="0710D429" w14:textId="77777777" w:rsidR="00D1706A" w:rsidRDefault="00D1706A" w:rsidP="0088014D"/>
    <w:p w14:paraId="62817163" w14:textId="2280D30E" w:rsidR="00D1706A" w:rsidRDefault="00D1706A" w:rsidP="0088014D">
      <w:r>
        <w:t xml:space="preserve">2.8. Az ügyvédi titkot tartalmazó iratok </w:t>
      </w:r>
      <w:r w:rsidR="00DA4995">
        <w:t xml:space="preserve">megőrzése és </w:t>
      </w:r>
      <w:r>
        <w:t xml:space="preserve">megsemmisítése </w:t>
      </w:r>
      <w:r w:rsidR="00DA4995">
        <w:t xml:space="preserve">tárgyában rendelkező szabály </w:t>
      </w:r>
      <w:r>
        <w:t>összhangban áll a Panasztörvény szigorú adattárolási szabályaival. A</w:t>
      </w:r>
      <w:r w:rsidR="00E06BEE">
        <w:t xml:space="preserve"> szabályzat számol azonban azzal, hogy amennyiben az adattárolást jogszabály írja elő, akkor ezen passzív adatkezelési időszak időtartama alatt kizárólag a szervezet vezető tisztségviselője férhessen hozzá az adatokhoz. Ez elősegíti, hogy a tároláson túlmenő adatkezelés ne következhessen be. </w:t>
      </w:r>
    </w:p>
    <w:p w14:paraId="63C35F04" w14:textId="77777777" w:rsidR="00DB5B35" w:rsidRDefault="00DB5B35" w:rsidP="0088014D"/>
    <w:p w14:paraId="641C044F" w14:textId="7AE9189F" w:rsidR="00DB5B35" w:rsidRDefault="00DB5B35" w:rsidP="0088014D">
      <w:r>
        <w:lastRenderedPageBreak/>
        <w:t xml:space="preserve">2.9. Az ügyvédi titok körébe tartozó adatokat </w:t>
      </w:r>
      <w:r w:rsidR="00DA4995">
        <w:t xml:space="preserve">a </w:t>
      </w:r>
      <w:r>
        <w:t xml:space="preserve">foglalkoztató tudja meghatározni. Így a szabályzat rendelkezik arról, hogy a megbízási szerződésben </w:t>
      </w:r>
      <w:r w:rsidR="00DA4995">
        <w:t xml:space="preserve">a </w:t>
      </w:r>
      <w:r>
        <w:t xml:space="preserve">szerződő feleknek biztosítaniuk kell, hogy megbízott megfelelően tudomást szerezzen az ügyvédi titok köréről, és így eleget tehessen az ügyvédi titok védelmére vonatkozó szabályoknak. Az ügyvédi titok széles körére tekintettel ezen kötelezettségnek megbízó úgy is eleget tehet, hogy az ügyvédi titok körébe nem tartozó adatokat jelöli meg. </w:t>
      </w:r>
    </w:p>
    <w:p w14:paraId="68661A32" w14:textId="77777777" w:rsidR="00DB5B35" w:rsidRDefault="00DB5B35" w:rsidP="0088014D"/>
    <w:p w14:paraId="368F9205" w14:textId="3C915212" w:rsidR="00DB5B35" w:rsidRDefault="00DB5B35" w:rsidP="0088014D">
      <w:r>
        <w:t>2.10. A szabályzatnak elő kell segítenie, hogy a külső szervezettel szerződő foglalkoztató a Panasztörvényben foglalt kötelezettségeinek eleget tegyen. Ebben a körben a szabályzat előírja, hogy a megbízási szerződésben a megbízott kötelezettséget vállal</w:t>
      </w:r>
      <w:r w:rsidR="00DA4995">
        <w:t xml:space="preserve"> arra, hogy jelzi, ha</w:t>
      </w:r>
      <w:r>
        <w:t xml:space="preserve"> vele szemben akár a jogszabály, akár a jelen szabályzat alapján összeférhetetlenségi ok merül fel. A szerződő feleknek – különös tekintettel a pártatlanság követelményére – az összeférhetetlenséget meg kell szüntetnie. Tekintettel arra, hogy a megbízási szerződés megszűnésének feltételeire vonatkozó szabályokat a Panasztörvény is tartalmaz, az összeférhetetlenség megszüntetése érdekében történő szerződés felbontás lehetőségét a szerződő feleknek már a megbízási szerződésben rendezniük kell. </w:t>
      </w:r>
    </w:p>
    <w:p w14:paraId="21AEF321" w14:textId="77777777" w:rsidR="00DB5B35" w:rsidRPr="00DB5B35" w:rsidRDefault="00DB5B35" w:rsidP="0088014D"/>
    <w:p w14:paraId="42A75F58" w14:textId="2A32CE74" w:rsidR="00494A58" w:rsidRDefault="00B56E78" w:rsidP="0088014D">
      <w:r>
        <w:t xml:space="preserve">2.11. </w:t>
      </w:r>
      <w:r w:rsidR="006412DC">
        <w:t xml:space="preserve">A belső visszaélés-bejelentési rendszerrel kapcsolatos fontos foglalkoztatói kötelezettség a bejelentésre jogosultak megfelelő tájékoztatása a bejelentés lehetőségéről. A szabályzat ezzel összhangban elvárja, hogy a megbízási szerződés rendelkezzen ezen kötelezettség megbízóra való telepítéséről. A Panasztörvény sarokköve a pártatlanság követelménye, melynek biztosítása – amennyiben a megbízás kiterjed a vizsgálat lefolytatására – a külső szervezetet kell terhelje a megbízási szerződés alapján. </w:t>
      </w:r>
    </w:p>
    <w:p w14:paraId="524E6754" w14:textId="77777777" w:rsidR="00FF1489" w:rsidRDefault="00FF1489" w:rsidP="0088014D"/>
    <w:p w14:paraId="151374EB" w14:textId="30C6302A" w:rsidR="00FF1489" w:rsidRDefault="00FF1489" w:rsidP="0088014D">
      <w:r>
        <w:t xml:space="preserve">2.12. A szabályzat meghatároz olyan további szabályozási területeket, melyre a megbízási szerződésnek ki kell terjednie. A bejelentési csatornák meghatározása, a vizsgálattal kapcsolatos feladatkörök meghatározása a bejelentők védelmét és az átláthatóság követelményét segítik elő. Az adatokhoz való hozzáférésre vonatkozó szabályok, a személyes adatok védelmére vonatkozó szabályok és az adatok törlésének meghatározása az adatkezelési jogszabályoknak és szabályoknak való megfelelés érdekében szükségesek. A mulasztással kapcsolatos felelősség szabályozása az elszámoltathatóság érdekében elvárható. </w:t>
      </w:r>
    </w:p>
    <w:p w14:paraId="199ABECB" w14:textId="77777777" w:rsidR="00D1706A" w:rsidRDefault="00D1706A" w:rsidP="0088014D"/>
    <w:p w14:paraId="43B82B70" w14:textId="10E28565" w:rsidR="007037AA" w:rsidRPr="00D919CA" w:rsidRDefault="007037AA" w:rsidP="007037AA">
      <w:pPr>
        <w:jc w:val="center"/>
        <w:rPr>
          <w:i/>
          <w:iCs/>
        </w:rPr>
      </w:pPr>
      <w:r>
        <w:rPr>
          <w:i/>
          <w:iCs/>
        </w:rPr>
        <w:t>3</w:t>
      </w:r>
      <w:r w:rsidRPr="00D919CA">
        <w:rPr>
          <w:i/>
          <w:iCs/>
        </w:rPr>
        <w:t>. ponthoz</w:t>
      </w:r>
    </w:p>
    <w:p w14:paraId="73CA2657" w14:textId="77777777" w:rsidR="00D1706A" w:rsidRDefault="00D1706A" w:rsidP="0088014D"/>
    <w:p w14:paraId="177E32B0" w14:textId="5D3D773A" w:rsidR="00E274EA" w:rsidRDefault="007037AA" w:rsidP="0088014D">
      <w:r>
        <w:t xml:space="preserve">A záró rendelkezések a szabályzat hatályba léptető rendelkezéseit tartalmazzák, külön szabályozva azt az esetkört, amikor a külső szolgáltató megbízására a Panasztörvény hatályba lépését követően, azonban a jelen szabályzat hatályba lépését megelőzően került sor. Tekintettel arra, hogy a jelen szabályzat meghozatalára kizárólag a Magyar Ügyvédi Kamara Küldöttgyűlése jogosult, így a 2023. július 24-től </w:t>
      </w:r>
      <w:r w:rsidR="00DA4995">
        <w:t xml:space="preserve">az elfogadásig terjedő </w:t>
      </w:r>
      <w:r>
        <w:t>időszakban az elvi lehetősége megvolt a külső megbízottakkal való szerződéskötésnek</w:t>
      </w:r>
      <w:r w:rsidR="00F362B6">
        <w:t xml:space="preserve"> – a szabályzat rendelkezéseinek figyelmen kívül hagyásával.</w:t>
      </w:r>
      <w:r>
        <w:t xml:space="preserve"> </w:t>
      </w:r>
      <w:r w:rsidR="00494A78">
        <w:t xml:space="preserve">A rendelkezésre álló adatok alapján 2023. november 20. napjáig az Üttv. 194/A. § (1) bekezdésének hatálya alá tartozó egyetlen foglalkoztató sem élt a külső megbízott igénybevételének lehetőségével. </w:t>
      </w:r>
    </w:p>
    <w:p w14:paraId="0B58D503" w14:textId="77777777" w:rsidR="007037AA" w:rsidRDefault="007037AA" w:rsidP="0088014D"/>
    <w:p w14:paraId="4A06A8F0" w14:textId="77777777" w:rsidR="007037AA" w:rsidRDefault="007037AA" w:rsidP="0088014D"/>
    <w:p w14:paraId="168F8960" w14:textId="77777777" w:rsidR="00494A58" w:rsidRDefault="00494A58" w:rsidP="0088014D"/>
    <w:p w14:paraId="590E42A6" w14:textId="78F08E1B" w:rsidR="00087F44" w:rsidRPr="0088014D" w:rsidRDefault="00087F44" w:rsidP="0088014D"/>
    <w:sectPr w:rsidR="00087F44" w:rsidRPr="0088014D" w:rsidSect="00F85A5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FA88A" w14:textId="77777777" w:rsidR="00353C84" w:rsidRDefault="00353C84" w:rsidP="00CE1DCB">
      <w:r>
        <w:separator/>
      </w:r>
    </w:p>
  </w:endnote>
  <w:endnote w:type="continuationSeparator" w:id="0">
    <w:p w14:paraId="2B16F85E" w14:textId="77777777" w:rsidR="00353C84" w:rsidRDefault="00353C84" w:rsidP="00CE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792D" w14:textId="77777777" w:rsidR="00353C84" w:rsidRDefault="00353C84" w:rsidP="00CE1DCB">
      <w:r>
        <w:separator/>
      </w:r>
    </w:p>
  </w:footnote>
  <w:footnote w:type="continuationSeparator" w:id="0">
    <w:p w14:paraId="4134B67A" w14:textId="77777777" w:rsidR="00353C84" w:rsidRDefault="00353C84" w:rsidP="00CE1DCB">
      <w:r>
        <w:continuationSeparator/>
      </w:r>
    </w:p>
  </w:footnote>
  <w:footnote w:id="1">
    <w:p w14:paraId="3D56A429" w14:textId="28C4AB63" w:rsidR="00CE1DCB" w:rsidRPr="001700F8" w:rsidRDefault="00CE1DCB" w:rsidP="00CE1DCB">
      <w:pPr>
        <w:rPr>
          <w:sz w:val="18"/>
          <w:szCs w:val="18"/>
        </w:rPr>
      </w:pPr>
      <w:r w:rsidRPr="001700F8">
        <w:rPr>
          <w:sz w:val="18"/>
          <w:szCs w:val="18"/>
          <w:vertAlign w:val="superscript"/>
        </w:rPr>
        <w:footnoteRef/>
      </w:r>
      <w:r w:rsidRPr="001700F8">
        <w:rPr>
          <w:sz w:val="18"/>
          <w:szCs w:val="18"/>
        </w:rPr>
        <w:t xml:space="preserve"> A szabályzatot a Magyar </w:t>
      </w:r>
      <w:r>
        <w:rPr>
          <w:sz w:val="18"/>
          <w:szCs w:val="18"/>
        </w:rPr>
        <w:t xml:space="preserve">Ügyvédi Kamara </w:t>
      </w:r>
      <w:r w:rsidR="00DC7C2A">
        <w:rPr>
          <w:sz w:val="18"/>
          <w:szCs w:val="18"/>
        </w:rPr>
        <w:t>Küldöttgyűlése</w:t>
      </w:r>
      <w:r>
        <w:rPr>
          <w:sz w:val="18"/>
          <w:szCs w:val="18"/>
        </w:rPr>
        <w:t xml:space="preserve"> </w:t>
      </w:r>
      <w:r w:rsidRPr="007A5885">
        <w:rPr>
          <w:sz w:val="18"/>
          <w:szCs w:val="18"/>
        </w:rPr>
        <w:t>2023</w:t>
      </w:r>
      <w:r w:rsidR="00A53374" w:rsidRPr="007A5885">
        <w:rPr>
          <w:sz w:val="18"/>
          <w:szCs w:val="18"/>
        </w:rPr>
        <w:t>.</w:t>
      </w:r>
      <w:r w:rsidR="0004006B" w:rsidRPr="007A5885">
        <w:rPr>
          <w:sz w:val="18"/>
          <w:szCs w:val="18"/>
        </w:rPr>
        <w:t>november 27-</w:t>
      </w:r>
      <w:r w:rsidRPr="007A5885">
        <w:rPr>
          <w:sz w:val="18"/>
          <w:szCs w:val="18"/>
        </w:rPr>
        <w:t>i ülésén fogadta</w:t>
      </w:r>
      <w:r w:rsidRPr="001700F8">
        <w:rPr>
          <w:sz w:val="18"/>
          <w:szCs w:val="18"/>
        </w:rPr>
        <w:t xml:space="preserve"> el.</w:t>
      </w:r>
    </w:p>
  </w:footnote>
  <w:footnote w:id="2">
    <w:p w14:paraId="3FE49714" w14:textId="1BEBF268" w:rsidR="00CE1DCB" w:rsidRPr="001700F8" w:rsidRDefault="00CE1DCB" w:rsidP="00CE1DCB">
      <w:pPr>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B2E1D"/>
    <w:multiLevelType w:val="hybridMultilevel"/>
    <w:tmpl w:val="7570B17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F039EB"/>
    <w:multiLevelType w:val="hybridMultilevel"/>
    <w:tmpl w:val="C0DA182E"/>
    <w:lvl w:ilvl="0" w:tplc="C4D81512">
      <w:start w:val="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E8A1B63"/>
    <w:multiLevelType w:val="hybridMultilevel"/>
    <w:tmpl w:val="FEA6BFB0"/>
    <w:lvl w:ilvl="0" w:tplc="CEC4AAE8">
      <w:start w:val="23"/>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9C24269"/>
    <w:multiLevelType w:val="hybridMultilevel"/>
    <w:tmpl w:val="D96A6A22"/>
    <w:lvl w:ilvl="0" w:tplc="64D4A614">
      <w:start w:val="2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5B4A7AB9"/>
    <w:multiLevelType w:val="hybridMultilevel"/>
    <w:tmpl w:val="3378F5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CCB2396"/>
    <w:multiLevelType w:val="multilevel"/>
    <w:tmpl w:val="427AB40C"/>
    <w:lvl w:ilvl="0">
      <w:start w:val="1"/>
      <w:numFmt w:val="decimal"/>
      <w:pStyle w:val="Cmsor1"/>
      <w:suff w:val="space"/>
      <w:lvlText w:val="%1."/>
      <w:lvlJc w:val="left"/>
      <w:pPr>
        <w:ind w:left="0" w:firstLine="0"/>
      </w:pPr>
      <w:rPr>
        <w:rFonts w:hint="default"/>
      </w:rPr>
    </w:lvl>
    <w:lvl w:ilvl="1">
      <w:start w:val="1"/>
      <w:numFmt w:val="decimal"/>
      <w:pStyle w:val="Cmsor2"/>
      <w:suff w:val="space"/>
      <w:lvlText w:val="%1.%2."/>
      <w:lvlJc w:val="left"/>
      <w:pPr>
        <w:ind w:left="0" w:firstLine="0"/>
      </w:pPr>
      <w:rPr>
        <w:rFonts w:hint="default"/>
        <w:b/>
        <w:bCs/>
      </w:rPr>
    </w:lvl>
    <w:lvl w:ilvl="2">
      <w:start w:val="1"/>
      <w:numFmt w:val="lowerLetter"/>
      <w:pStyle w:val="Cmsor3"/>
      <w:suff w:val="space"/>
      <w:lvlText w:val="%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03755397">
    <w:abstractNumId w:val="3"/>
  </w:num>
  <w:num w:numId="2" w16cid:durableId="1447236266">
    <w:abstractNumId w:val="2"/>
  </w:num>
  <w:num w:numId="3" w16cid:durableId="556552071">
    <w:abstractNumId w:val="0"/>
  </w:num>
  <w:num w:numId="4" w16cid:durableId="1130244518">
    <w:abstractNumId w:val="5"/>
  </w:num>
  <w:num w:numId="5" w16cid:durableId="145628919">
    <w:abstractNumId w:val="1"/>
  </w:num>
  <w:num w:numId="6" w16cid:durableId="4472364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DCB"/>
    <w:rsid w:val="00013614"/>
    <w:rsid w:val="00013667"/>
    <w:rsid w:val="00013C9B"/>
    <w:rsid w:val="00015429"/>
    <w:rsid w:val="00017AB5"/>
    <w:rsid w:val="00034607"/>
    <w:rsid w:val="0004006B"/>
    <w:rsid w:val="0007388E"/>
    <w:rsid w:val="00073CC9"/>
    <w:rsid w:val="0007462C"/>
    <w:rsid w:val="00084D9F"/>
    <w:rsid w:val="000867F2"/>
    <w:rsid w:val="00087F44"/>
    <w:rsid w:val="00103104"/>
    <w:rsid w:val="00115EEE"/>
    <w:rsid w:val="00123B95"/>
    <w:rsid w:val="001437D9"/>
    <w:rsid w:val="00145E3D"/>
    <w:rsid w:val="001547FE"/>
    <w:rsid w:val="00160314"/>
    <w:rsid w:val="00161683"/>
    <w:rsid w:val="00162C12"/>
    <w:rsid w:val="00164B94"/>
    <w:rsid w:val="00165DC1"/>
    <w:rsid w:val="00176758"/>
    <w:rsid w:val="001A7BA1"/>
    <w:rsid w:val="001B2852"/>
    <w:rsid w:val="001D2D67"/>
    <w:rsid w:val="001E6EB2"/>
    <w:rsid w:val="001E7D3D"/>
    <w:rsid w:val="00262C98"/>
    <w:rsid w:val="0028509B"/>
    <w:rsid w:val="00293E02"/>
    <w:rsid w:val="002C556A"/>
    <w:rsid w:val="002D0DB3"/>
    <w:rsid w:val="002E7E21"/>
    <w:rsid w:val="00301552"/>
    <w:rsid w:val="00325467"/>
    <w:rsid w:val="00335D8C"/>
    <w:rsid w:val="00353C84"/>
    <w:rsid w:val="00360CE7"/>
    <w:rsid w:val="00381AE1"/>
    <w:rsid w:val="00392648"/>
    <w:rsid w:val="003C75A7"/>
    <w:rsid w:val="003D0D6F"/>
    <w:rsid w:val="003D5DE7"/>
    <w:rsid w:val="003F3C14"/>
    <w:rsid w:val="003F73BF"/>
    <w:rsid w:val="00446145"/>
    <w:rsid w:val="00446ACE"/>
    <w:rsid w:val="004720CD"/>
    <w:rsid w:val="0049203E"/>
    <w:rsid w:val="00494303"/>
    <w:rsid w:val="00494472"/>
    <w:rsid w:val="00494A58"/>
    <w:rsid w:val="00494A78"/>
    <w:rsid w:val="00507C24"/>
    <w:rsid w:val="00517EAA"/>
    <w:rsid w:val="00545E3D"/>
    <w:rsid w:val="00566BCA"/>
    <w:rsid w:val="00571ABB"/>
    <w:rsid w:val="005921CF"/>
    <w:rsid w:val="00592E70"/>
    <w:rsid w:val="005C4F70"/>
    <w:rsid w:val="0061255D"/>
    <w:rsid w:val="006170BE"/>
    <w:rsid w:val="00632679"/>
    <w:rsid w:val="006412DC"/>
    <w:rsid w:val="00652500"/>
    <w:rsid w:val="00670FF3"/>
    <w:rsid w:val="00686D50"/>
    <w:rsid w:val="006911AE"/>
    <w:rsid w:val="00692F22"/>
    <w:rsid w:val="006C5AF7"/>
    <w:rsid w:val="006F6865"/>
    <w:rsid w:val="007037AA"/>
    <w:rsid w:val="0071123E"/>
    <w:rsid w:val="0074603B"/>
    <w:rsid w:val="00746DDC"/>
    <w:rsid w:val="00760D3E"/>
    <w:rsid w:val="00766C40"/>
    <w:rsid w:val="0077506B"/>
    <w:rsid w:val="007755E2"/>
    <w:rsid w:val="0079634A"/>
    <w:rsid w:val="00796FFD"/>
    <w:rsid w:val="007A5885"/>
    <w:rsid w:val="00801B95"/>
    <w:rsid w:val="008168BD"/>
    <w:rsid w:val="00837961"/>
    <w:rsid w:val="0087197B"/>
    <w:rsid w:val="0088014D"/>
    <w:rsid w:val="008A3A1C"/>
    <w:rsid w:val="008A4AB8"/>
    <w:rsid w:val="008B5120"/>
    <w:rsid w:val="008D1989"/>
    <w:rsid w:val="0091507A"/>
    <w:rsid w:val="0092119C"/>
    <w:rsid w:val="00923763"/>
    <w:rsid w:val="009838C9"/>
    <w:rsid w:val="00990632"/>
    <w:rsid w:val="009D510B"/>
    <w:rsid w:val="009D6D3F"/>
    <w:rsid w:val="009E2035"/>
    <w:rsid w:val="009E2D8F"/>
    <w:rsid w:val="00A128A8"/>
    <w:rsid w:val="00A31DB5"/>
    <w:rsid w:val="00A347CD"/>
    <w:rsid w:val="00A37031"/>
    <w:rsid w:val="00A42947"/>
    <w:rsid w:val="00A53374"/>
    <w:rsid w:val="00A63C92"/>
    <w:rsid w:val="00A71414"/>
    <w:rsid w:val="00A768FE"/>
    <w:rsid w:val="00AE0EE9"/>
    <w:rsid w:val="00AE3789"/>
    <w:rsid w:val="00B4618B"/>
    <w:rsid w:val="00B56E78"/>
    <w:rsid w:val="00B63EF7"/>
    <w:rsid w:val="00B8315F"/>
    <w:rsid w:val="00B85FFD"/>
    <w:rsid w:val="00B906C8"/>
    <w:rsid w:val="00B965FA"/>
    <w:rsid w:val="00B96DAD"/>
    <w:rsid w:val="00BA0705"/>
    <w:rsid w:val="00BA2468"/>
    <w:rsid w:val="00BC62FB"/>
    <w:rsid w:val="00BD070D"/>
    <w:rsid w:val="00C15991"/>
    <w:rsid w:val="00C25694"/>
    <w:rsid w:val="00C25E01"/>
    <w:rsid w:val="00C60747"/>
    <w:rsid w:val="00CB01B0"/>
    <w:rsid w:val="00CE1DCB"/>
    <w:rsid w:val="00CE4504"/>
    <w:rsid w:val="00D067BE"/>
    <w:rsid w:val="00D1706A"/>
    <w:rsid w:val="00D42B59"/>
    <w:rsid w:val="00D50E2E"/>
    <w:rsid w:val="00D526D8"/>
    <w:rsid w:val="00D601E2"/>
    <w:rsid w:val="00D77D28"/>
    <w:rsid w:val="00D83D8F"/>
    <w:rsid w:val="00D919CA"/>
    <w:rsid w:val="00DA4995"/>
    <w:rsid w:val="00DB5B35"/>
    <w:rsid w:val="00DC7C2A"/>
    <w:rsid w:val="00DD4A6A"/>
    <w:rsid w:val="00DE7A1B"/>
    <w:rsid w:val="00E06BEE"/>
    <w:rsid w:val="00E07436"/>
    <w:rsid w:val="00E22864"/>
    <w:rsid w:val="00E2390D"/>
    <w:rsid w:val="00E274EA"/>
    <w:rsid w:val="00E30A99"/>
    <w:rsid w:val="00E41EF7"/>
    <w:rsid w:val="00E45CA2"/>
    <w:rsid w:val="00E51A57"/>
    <w:rsid w:val="00E66C92"/>
    <w:rsid w:val="00E71D58"/>
    <w:rsid w:val="00E7592F"/>
    <w:rsid w:val="00E9050A"/>
    <w:rsid w:val="00EE6688"/>
    <w:rsid w:val="00F362B6"/>
    <w:rsid w:val="00F62306"/>
    <w:rsid w:val="00F77871"/>
    <w:rsid w:val="00F85A57"/>
    <w:rsid w:val="00F901A3"/>
    <w:rsid w:val="00FA3B38"/>
    <w:rsid w:val="00FB1233"/>
    <w:rsid w:val="00FB5B6E"/>
    <w:rsid w:val="00FC186D"/>
    <w:rsid w:val="00FC6112"/>
    <w:rsid w:val="00FD6A1C"/>
    <w:rsid w:val="00FE2CAA"/>
    <w:rsid w:val="00FF14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2509"/>
  <w15:chartTrackingRefBased/>
  <w15:docId w15:val="{88AAC978-7957-49F6-B732-F390835E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HAns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1DCB"/>
    <w:pPr>
      <w:spacing w:after="0" w:line="240" w:lineRule="auto"/>
      <w:jc w:val="both"/>
    </w:pPr>
    <w:rPr>
      <w:rFonts w:ascii="Times New Roman" w:eastAsia="Times New Roman" w:hAnsi="Times New Roman" w:cs="Times New Roman"/>
      <w:sz w:val="24"/>
      <w:szCs w:val="24"/>
      <w:lang w:eastAsia="hu-HU"/>
    </w:rPr>
  </w:style>
  <w:style w:type="paragraph" w:styleId="Cmsor1">
    <w:name w:val="heading 1"/>
    <w:basedOn w:val="Listaszerbekezds"/>
    <w:next w:val="Norml"/>
    <w:link w:val="Cmsor1Char"/>
    <w:uiPriority w:val="9"/>
    <w:qFormat/>
    <w:rsid w:val="00B965FA"/>
    <w:pPr>
      <w:keepNext/>
      <w:numPr>
        <w:numId w:val="4"/>
      </w:numPr>
      <w:spacing w:before="200" w:line="276" w:lineRule="auto"/>
      <w:contextualSpacing w:val="0"/>
      <w:jc w:val="center"/>
      <w:outlineLvl w:val="0"/>
    </w:pPr>
    <w:rPr>
      <w:b/>
    </w:rPr>
  </w:style>
  <w:style w:type="paragraph" w:styleId="Cmsor2">
    <w:name w:val="heading 2"/>
    <w:basedOn w:val="Listaszerbekezds"/>
    <w:next w:val="Norml"/>
    <w:link w:val="Cmsor2Char"/>
    <w:uiPriority w:val="9"/>
    <w:unhideWhenUsed/>
    <w:qFormat/>
    <w:rsid w:val="00D77D28"/>
    <w:pPr>
      <w:numPr>
        <w:ilvl w:val="1"/>
        <w:numId w:val="4"/>
      </w:numPr>
      <w:spacing w:before="200" w:line="276" w:lineRule="auto"/>
      <w:contextualSpacing w:val="0"/>
      <w:outlineLvl w:val="1"/>
    </w:pPr>
  </w:style>
  <w:style w:type="paragraph" w:styleId="Cmsor3">
    <w:name w:val="heading 3"/>
    <w:basedOn w:val="Listaszerbekezds"/>
    <w:next w:val="Norml"/>
    <w:link w:val="Cmsor3Char"/>
    <w:uiPriority w:val="9"/>
    <w:unhideWhenUsed/>
    <w:qFormat/>
    <w:rsid w:val="00CE4504"/>
    <w:pPr>
      <w:numPr>
        <w:ilvl w:val="2"/>
        <w:numId w:val="4"/>
      </w:numPr>
      <w:spacing w:before="100" w:line="276" w:lineRule="auto"/>
      <w:contextualSpacing w:val="0"/>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CE1DCB"/>
    <w:pPr>
      <w:spacing w:before="200" w:after="200" w:line="276" w:lineRule="auto"/>
      <w:jc w:val="center"/>
      <w:outlineLvl w:val="0"/>
    </w:pPr>
    <w:rPr>
      <w:rFonts w:eastAsia="Calibri"/>
      <w:b/>
      <w:lang w:eastAsia="en-US"/>
    </w:rPr>
  </w:style>
  <w:style w:type="character" w:customStyle="1" w:styleId="CmChar">
    <w:name w:val="Cím Char"/>
    <w:basedOn w:val="Bekezdsalapbettpusa"/>
    <w:link w:val="Cm"/>
    <w:uiPriority w:val="10"/>
    <w:rsid w:val="00CE1DCB"/>
    <w:rPr>
      <w:rFonts w:ascii="Times New Roman" w:eastAsia="Calibri" w:hAnsi="Times New Roman" w:cs="Times New Roman"/>
      <w:b/>
      <w:sz w:val="24"/>
      <w:szCs w:val="24"/>
    </w:rPr>
  </w:style>
  <w:style w:type="paragraph" w:customStyle="1" w:styleId="FESZ">
    <w:name w:val="FESZ"/>
    <w:basedOn w:val="Nincstrkz"/>
    <w:qFormat/>
    <w:rsid w:val="00CE1DCB"/>
    <w:pPr>
      <w:spacing w:before="200" w:line="276" w:lineRule="auto"/>
    </w:pPr>
    <w:rPr>
      <w:rFonts w:eastAsia="Calibri"/>
      <w:sz w:val="22"/>
      <w:szCs w:val="22"/>
      <w:lang w:eastAsia="en-US"/>
    </w:rPr>
  </w:style>
  <w:style w:type="paragraph" w:customStyle="1" w:styleId="ttv">
    <w:name w:val="Üttv."/>
    <w:basedOn w:val="Norml"/>
    <w:qFormat/>
    <w:rsid w:val="00CE1DCB"/>
    <w:pPr>
      <w:spacing w:before="200" w:line="276" w:lineRule="auto"/>
      <w:ind w:left="284" w:right="359"/>
      <w:contextualSpacing/>
    </w:pPr>
    <w:rPr>
      <w:b/>
      <w:i/>
      <w:sz w:val="22"/>
    </w:rPr>
  </w:style>
  <w:style w:type="paragraph" w:styleId="Nincstrkz">
    <w:name w:val="No Spacing"/>
    <w:uiPriority w:val="1"/>
    <w:qFormat/>
    <w:rsid w:val="00CE1DCB"/>
    <w:pPr>
      <w:spacing w:after="0" w:line="240" w:lineRule="auto"/>
      <w:jc w:val="both"/>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C60747"/>
    <w:pPr>
      <w:ind w:left="720"/>
      <w:contextualSpacing/>
    </w:pPr>
  </w:style>
  <w:style w:type="paragraph" w:customStyle="1" w:styleId="Jogszablyidzet">
    <w:name w:val="Jogszabály idézet"/>
    <w:basedOn w:val="Norml"/>
    <w:link w:val="JogszablyidzetChar"/>
    <w:qFormat/>
    <w:rsid w:val="001547FE"/>
    <w:pPr>
      <w:ind w:left="851" w:right="662"/>
    </w:pPr>
    <w:rPr>
      <w:i/>
    </w:rPr>
  </w:style>
  <w:style w:type="character" w:customStyle="1" w:styleId="JogszablyidzetChar">
    <w:name w:val="Jogszabály idézet Char"/>
    <w:basedOn w:val="Bekezdsalapbettpusa"/>
    <w:link w:val="Jogszablyidzet"/>
    <w:rsid w:val="001547FE"/>
    <w:rPr>
      <w:rFonts w:ascii="Times New Roman" w:eastAsia="Times New Roman" w:hAnsi="Times New Roman" w:cs="Times New Roman"/>
      <w:i/>
      <w:sz w:val="24"/>
      <w:szCs w:val="24"/>
      <w:lang w:eastAsia="hu-HU"/>
    </w:rPr>
  </w:style>
  <w:style w:type="character" w:styleId="Jegyzethivatkozs">
    <w:name w:val="annotation reference"/>
    <w:basedOn w:val="Bekezdsalapbettpusa"/>
    <w:uiPriority w:val="99"/>
    <w:semiHidden/>
    <w:unhideWhenUsed/>
    <w:rsid w:val="001D2D67"/>
    <w:rPr>
      <w:sz w:val="16"/>
      <w:szCs w:val="16"/>
    </w:rPr>
  </w:style>
  <w:style w:type="paragraph" w:styleId="Jegyzetszveg">
    <w:name w:val="annotation text"/>
    <w:basedOn w:val="Norml"/>
    <w:link w:val="JegyzetszvegChar"/>
    <w:uiPriority w:val="99"/>
    <w:unhideWhenUsed/>
    <w:rsid w:val="001D2D67"/>
    <w:rPr>
      <w:sz w:val="20"/>
      <w:szCs w:val="20"/>
    </w:rPr>
  </w:style>
  <w:style w:type="character" w:customStyle="1" w:styleId="JegyzetszvegChar">
    <w:name w:val="Jegyzetszöveg Char"/>
    <w:basedOn w:val="Bekezdsalapbettpusa"/>
    <w:link w:val="Jegyzetszveg"/>
    <w:uiPriority w:val="99"/>
    <w:rsid w:val="001D2D67"/>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D2D67"/>
    <w:rPr>
      <w:b/>
      <w:bCs/>
    </w:rPr>
  </w:style>
  <w:style w:type="character" w:customStyle="1" w:styleId="MegjegyzstrgyaChar">
    <w:name w:val="Megjegyzés tárgya Char"/>
    <w:basedOn w:val="JegyzetszvegChar"/>
    <w:link w:val="Megjegyzstrgya"/>
    <w:uiPriority w:val="99"/>
    <w:semiHidden/>
    <w:rsid w:val="001D2D67"/>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1D2D6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D2D67"/>
    <w:rPr>
      <w:rFonts w:ascii="Segoe UI" w:eastAsia="Times New Roman" w:hAnsi="Segoe UI" w:cs="Segoe UI"/>
      <w:sz w:val="18"/>
      <w:szCs w:val="18"/>
      <w:lang w:eastAsia="hu-HU"/>
    </w:rPr>
  </w:style>
  <w:style w:type="paragraph" w:styleId="Vltozat">
    <w:name w:val="Revision"/>
    <w:hidden/>
    <w:uiPriority w:val="99"/>
    <w:semiHidden/>
    <w:rsid w:val="00013C9B"/>
    <w:pPr>
      <w:spacing w:after="0"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965FA"/>
    <w:rPr>
      <w:rFonts w:ascii="Times New Roman" w:eastAsia="Times New Roman" w:hAnsi="Times New Roman" w:cs="Times New Roman"/>
      <w:b/>
      <w:sz w:val="24"/>
      <w:szCs w:val="24"/>
      <w:lang w:eastAsia="hu-HU"/>
    </w:rPr>
  </w:style>
  <w:style w:type="character" w:customStyle="1" w:styleId="Cmsor2Char">
    <w:name w:val="Címsor 2 Char"/>
    <w:basedOn w:val="Bekezdsalapbettpusa"/>
    <w:link w:val="Cmsor2"/>
    <w:uiPriority w:val="9"/>
    <w:rsid w:val="00D77D28"/>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
    <w:rsid w:val="00CE4504"/>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DB5B35"/>
    <w:pPr>
      <w:tabs>
        <w:tab w:val="center" w:pos="4536"/>
        <w:tab w:val="right" w:pos="9072"/>
      </w:tabs>
    </w:pPr>
  </w:style>
  <w:style w:type="character" w:customStyle="1" w:styleId="lfejChar">
    <w:name w:val="Élőfej Char"/>
    <w:basedOn w:val="Bekezdsalapbettpusa"/>
    <w:link w:val="lfej"/>
    <w:uiPriority w:val="99"/>
    <w:rsid w:val="00DB5B35"/>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DB5B35"/>
    <w:pPr>
      <w:tabs>
        <w:tab w:val="center" w:pos="4536"/>
        <w:tab w:val="right" w:pos="9072"/>
      </w:tabs>
    </w:pPr>
  </w:style>
  <w:style w:type="character" w:customStyle="1" w:styleId="llbChar">
    <w:name w:val="Élőláb Char"/>
    <w:basedOn w:val="Bekezdsalapbettpusa"/>
    <w:link w:val="llb"/>
    <w:uiPriority w:val="99"/>
    <w:rsid w:val="00DB5B35"/>
    <w:rPr>
      <w:rFonts w:ascii="Times New Roman" w:eastAsia="Times New Roman" w:hAnsi="Times New Roman" w:cs="Times New Roman"/>
      <w:sz w:val="24"/>
      <w:szCs w:val="24"/>
      <w:lang w:eastAsia="hu-HU"/>
    </w:rPr>
  </w:style>
  <w:style w:type="table" w:styleId="Rcsostblzat">
    <w:name w:val="Table Grid"/>
    <w:basedOn w:val="Normltblzat"/>
    <w:uiPriority w:val="39"/>
    <w:rsid w:val="0004006B"/>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6651-C671-400D-93A5-4B83BB29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6</Pages>
  <Words>1993</Words>
  <Characters>13757</Characters>
  <Application>Microsoft Office Word</Application>
  <DocSecurity>0</DocSecurity>
  <Lines>114</Lines>
  <Paragraphs>31</Paragraphs>
  <ScaleCrop>false</ScaleCrop>
  <HeadingPairs>
    <vt:vector size="4" baseType="variant">
      <vt:variant>
        <vt:lpstr>Cím</vt:lpstr>
      </vt:variant>
      <vt:variant>
        <vt:i4>1</vt:i4>
      </vt:variant>
      <vt:variant>
        <vt:lpstr>Címsorok</vt:lpstr>
      </vt:variant>
      <vt:variant>
        <vt:i4>19</vt:i4>
      </vt:variant>
    </vt:vector>
  </HeadingPairs>
  <TitlesOfParts>
    <vt:vector size="20" baseType="lpstr">
      <vt:lpstr/>
      <vt:lpstr>ELŐTERJESZTÉS</vt:lpstr>
      <vt:lpstr>.../2023. (… …) MÜK szabályzat  a belső visszaélés-bejelentési rendszer működtet</vt:lpstr>
      <vt:lpstr>Külső szervezettel szembeni követelmények</vt:lpstr>
      <vt:lpstr>    Az ügyvéd, az európai közösségi jogász, az ügyvédi iroda és az európai közösségi</vt:lpstr>
      <vt:lpstr>        jogi személy,</vt:lpstr>
      <vt:lpstr>        a visszaélés-bejelentési rendszer működtetésére vonatkozó tevékenységéből eredő </vt:lpstr>
      <vt:lpstr>        megfelel a panaszokról, a közérdekű bejelentésekről, valamint a visszaélések bej</vt:lpstr>
      <vt:lpstr>Külső szervezet megbízásával kapcsolatos követelmények</vt:lpstr>
      <vt:lpstr>    A külső szervezettel kötött megbízási szerződésnek tartalmaznia kell, hogy a meg</vt:lpstr>
      <vt:lpstr>        a bejelentések fogadásának csatornáit,</vt:lpstr>
      <vt:lpstr>        a bejelentés vizsgálatával kapcsolatos feladatköröket,</vt:lpstr>
      <vt:lpstr>        a bejelentéssel kapcsolatos adatokhoz való hozzáférés feltételeit és az adatok m</vt:lpstr>
      <vt:lpstr>        a személyes adatok védelmének garanciáit, </vt:lpstr>
      <vt:lpstr>        a bejelentéssel kapcsolatos adatok törlésének módját és idejét,</vt:lpstr>
      <vt:lpstr>        a vizsgálattal kapcsolatos feladatok elmulasztásából eredő felelősségi szabályok</vt:lpstr>
      <vt:lpstr>Záró rendelkezések</vt:lpstr>
      <vt:lpstr>    Ez a szabályzat a Magyar Ügyvédi Kamara honlapján történő közzétételét követő na</vt:lpstr>
      <vt:lpstr>    Az e szabályzat hatálybalépésekor a visszaélés-bejelentési rendszer működtetésér</vt:lpstr>
      <vt:lpstr>INDOKOLÁS</vt:lpstr>
    </vt:vector>
  </TitlesOfParts>
  <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Dékány Dóra</dc:creator>
  <cp:keywords/>
  <dc:description/>
  <cp:lastModifiedBy>Ferenc dr.Holczer</cp:lastModifiedBy>
  <cp:revision>8</cp:revision>
  <dcterms:created xsi:type="dcterms:W3CDTF">2023-11-21T16:10:00Z</dcterms:created>
  <dcterms:modified xsi:type="dcterms:W3CDTF">2023-11-30T09:56:00Z</dcterms:modified>
</cp:coreProperties>
</file>