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D17A8" w14:textId="77777777" w:rsidR="002C5BE0" w:rsidRDefault="002C5BE0" w:rsidP="002C5BE0">
      <w:pPr>
        <w:spacing w:after="0" w:line="240" w:lineRule="auto"/>
        <w:ind w:right="-567"/>
        <w:jc w:val="center"/>
        <w:rPr>
          <w:rFonts w:ascii="Times New Roman" w:hAnsi="Times New Roman" w:cs="Times New Roman"/>
          <w:b/>
          <w:sz w:val="24"/>
          <w:szCs w:val="24"/>
        </w:rPr>
      </w:pPr>
    </w:p>
    <w:p w14:paraId="0BCD23E9" w14:textId="15AF0FD1" w:rsidR="002C5BE0" w:rsidRPr="002C5BE0" w:rsidRDefault="002C5BE0" w:rsidP="002C5BE0">
      <w:pPr>
        <w:spacing w:after="0" w:line="240" w:lineRule="auto"/>
        <w:ind w:right="-567"/>
        <w:jc w:val="center"/>
        <w:rPr>
          <w:rFonts w:ascii="Times New Roman" w:hAnsi="Times New Roman" w:cs="Times New Roman"/>
          <w:b/>
        </w:rPr>
      </w:pPr>
      <w:r w:rsidRPr="002C5BE0">
        <w:rPr>
          <w:rFonts w:ascii="Times New Roman" w:hAnsi="Times New Roman" w:cs="Times New Roman"/>
          <w:b/>
        </w:rPr>
        <w:t xml:space="preserve">A Magyar Ügyvédi Kamara Elnökségének </w:t>
      </w:r>
      <w:r w:rsidR="00926132">
        <w:rPr>
          <w:rFonts w:ascii="Times New Roman" w:hAnsi="Times New Roman" w:cs="Times New Roman"/>
          <w:b/>
        </w:rPr>
        <w:t>1</w:t>
      </w:r>
      <w:r w:rsidRPr="002C5BE0">
        <w:rPr>
          <w:rFonts w:ascii="Times New Roman" w:hAnsi="Times New Roman" w:cs="Times New Roman"/>
          <w:b/>
        </w:rPr>
        <w:t xml:space="preserve">/2019. </w:t>
      </w:r>
      <w:r w:rsidR="00926132">
        <w:rPr>
          <w:rFonts w:ascii="Times New Roman" w:hAnsi="Times New Roman" w:cs="Times New Roman"/>
          <w:b/>
        </w:rPr>
        <w:t>(IV.15.)</w:t>
      </w:r>
      <w:bookmarkStart w:id="0" w:name="_GoBack"/>
      <w:bookmarkEnd w:id="0"/>
      <w:r w:rsidRPr="002C5BE0">
        <w:rPr>
          <w:rFonts w:ascii="Times New Roman" w:hAnsi="Times New Roman" w:cs="Times New Roman"/>
          <w:b/>
        </w:rPr>
        <w:t xml:space="preserve"> Szakmai Álláspontja a GDPR tekintetében </w:t>
      </w:r>
    </w:p>
    <w:p w14:paraId="5D0E2C5A" w14:textId="77777777" w:rsidR="002C5BE0" w:rsidRDefault="002C5BE0" w:rsidP="00835261">
      <w:pPr>
        <w:spacing w:after="0" w:line="240" w:lineRule="auto"/>
        <w:ind w:right="-567"/>
        <w:jc w:val="both"/>
        <w:rPr>
          <w:rFonts w:ascii="Times New Roman" w:hAnsi="Times New Roman" w:cs="Times New Roman"/>
          <w:b/>
          <w:sz w:val="24"/>
          <w:szCs w:val="24"/>
        </w:rPr>
      </w:pPr>
    </w:p>
    <w:p w14:paraId="21CD2BB2" w14:textId="2119BD30" w:rsidR="00835261" w:rsidRPr="00835261" w:rsidRDefault="002C5BE0" w:rsidP="00835261">
      <w:pPr>
        <w:spacing w:after="0" w:line="240" w:lineRule="auto"/>
        <w:ind w:right="-567"/>
        <w:jc w:val="both"/>
        <w:rPr>
          <w:rFonts w:ascii="Times New Roman" w:hAnsi="Times New Roman" w:cs="Times New Roman"/>
          <w:b/>
          <w:sz w:val="24"/>
          <w:szCs w:val="24"/>
        </w:rPr>
      </w:pPr>
      <w:r>
        <w:rPr>
          <w:rFonts w:ascii="Times New Roman" w:hAnsi="Times New Roman" w:cs="Times New Roman"/>
          <w:b/>
          <w:sz w:val="24"/>
          <w:szCs w:val="24"/>
        </w:rPr>
        <w:t xml:space="preserve">I. Az ügyvéd tevékenységének ellátása során </w:t>
      </w:r>
      <w:r w:rsidRPr="00835261">
        <w:rPr>
          <w:rFonts w:ascii="Times New Roman" w:hAnsi="Times New Roman" w:cs="Times New Roman"/>
          <w:b/>
          <w:sz w:val="24"/>
          <w:szCs w:val="24"/>
        </w:rPr>
        <w:t xml:space="preserve">az Általános Adatvédelmi Rendelet (a továbbiakban: GDPR) szempontjából </w:t>
      </w:r>
      <w:r>
        <w:rPr>
          <w:rFonts w:ascii="Times New Roman" w:hAnsi="Times New Roman" w:cs="Times New Roman"/>
          <w:b/>
          <w:sz w:val="24"/>
          <w:szCs w:val="24"/>
        </w:rPr>
        <w:t xml:space="preserve">elsődlegesen – </w:t>
      </w:r>
      <w:proofErr w:type="gramStart"/>
      <w:r w:rsidR="00835261" w:rsidRPr="00835261">
        <w:rPr>
          <w:rFonts w:ascii="Times New Roman" w:hAnsi="Times New Roman" w:cs="Times New Roman"/>
          <w:b/>
          <w:sz w:val="24"/>
          <w:szCs w:val="24"/>
        </w:rPr>
        <w:t>kivéve</w:t>
      </w:r>
      <w:proofErr w:type="gramEnd"/>
      <w:r w:rsidR="00835261" w:rsidRPr="00835261">
        <w:rPr>
          <w:rFonts w:ascii="Times New Roman" w:hAnsi="Times New Roman" w:cs="Times New Roman"/>
          <w:b/>
          <w:sz w:val="24"/>
          <w:szCs w:val="24"/>
        </w:rPr>
        <w:t xml:space="preserve"> ha az ügyvéd és a megbízója közötti megállapodásából vagy esetlegesen egyéb kivételes körülményből más nem következik –</w:t>
      </w:r>
      <w:r>
        <w:rPr>
          <w:rFonts w:ascii="Times New Roman" w:hAnsi="Times New Roman" w:cs="Times New Roman"/>
          <w:b/>
          <w:sz w:val="24"/>
          <w:szCs w:val="24"/>
        </w:rPr>
        <w:t xml:space="preserve"> </w:t>
      </w:r>
      <w:r w:rsidR="00835261" w:rsidRPr="00835261">
        <w:rPr>
          <w:rFonts w:ascii="Times New Roman" w:hAnsi="Times New Roman" w:cs="Times New Roman"/>
          <w:b/>
          <w:sz w:val="24"/>
          <w:szCs w:val="24"/>
        </w:rPr>
        <w:t xml:space="preserve">önálló adatkezelőnek, és nem adatfeldolgozónak vagy közös adatkezelőnek minősül, mivel az ügyvédi adatkezelés céljait és eszközeit elsődlegesen az ügyvédekre vonatkozó jogszabályok és MÜK szabályzati határozzák meg. Tevékenységéhez ezért általában nem tartozik, hogy a megbízója vele adatfeldolgozási szerződést kössön, hiszen az ügyvéd adatkezeléssel kapcsolatos kötelezettsége és felelőssége az ügyvédi megbízásból eredő önálló döntési jogosultságán alapszik. Az ügyvédi tevékenység gyakorlása során az ügyvéd azonban kivételesen, nem jellemzően, jogosult olyan tevékenységet is folytatni (például kiegészítő tevékenységeket), amelynek ellátása során adatfeldolgozónak minősülhet. Az adatfeldolgozó szerepkör elsősorban az ügyvéd által önként vállalt, szerződéses megállapodáson alapul többletkötelezettség. </w:t>
      </w:r>
    </w:p>
    <w:p w14:paraId="571215EB" w14:textId="77777777" w:rsidR="00835261" w:rsidRPr="00835261" w:rsidRDefault="00835261" w:rsidP="00835261">
      <w:pPr>
        <w:spacing w:after="0" w:line="240" w:lineRule="auto"/>
        <w:ind w:right="-567"/>
        <w:jc w:val="both"/>
        <w:rPr>
          <w:rFonts w:ascii="Times New Roman" w:hAnsi="Times New Roman" w:cs="Times New Roman"/>
          <w:b/>
          <w:sz w:val="24"/>
          <w:szCs w:val="24"/>
        </w:rPr>
      </w:pPr>
      <w:r w:rsidRPr="00835261">
        <w:rPr>
          <w:rFonts w:ascii="Times New Roman" w:hAnsi="Times New Roman" w:cs="Times New Roman"/>
          <w:b/>
          <w:sz w:val="24"/>
          <w:szCs w:val="24"/>
        </w:rPr>
        <w:t xml:space="preserve">II. Az ügyvédnek (ügyvédi irodának) mint adatkezelőnek a GDPR 37. cikk (1) bekezdés a) pontja értelmében nem kötelező adatvédelmi tisztviselőt kijelölnie, mivel ügyvéd (ügyvédi iroda) nem minősül közfeladatot ellátó szervnek. </w:t>
      </w:r>
    </w:p>
    <w:p w14:paraId="6BDFB26F" w14:textId="669B54B2" w:rsidR="00835261" w:rsidRPr="00835261" w:rsidRDefault="00835261" w:rsidP="00835261">
      <w:pPr>
        <w:spacing w:after="0" w:line="240" w:lineRule="auto"/>
        <w:ind w:right="-567"/>
        <w:jc w:val="both"/>
        <w:rPr>
          <w:rFonts w:ascii="Times New Roman" w:hAnsi="Times New Roman" w:cs="Times New Roman"/>
          <w:b/>
          <w:sz w:val="24"/>
          <w:szCs w:val="24"/>
        </w:rPr>
      </w:pPr>
      <w:r w:rsidRPr="00835261">
        <w:rPr>
          <w:rFonts w:ascii="Times New Roman" w:hAnsi="Times New Roman" w:cs="Times New Roman"/>
          <w:b/>
          <w:sz w:val="24"/>
          <w:szCs w:val="24"/>
        </w:rPr>
        <w:t>III. A helyettesként eljáró ügyvédre – ha a körülményekből nyilvánvalóan más nem következik – az adatfeldolgozóra vonatkozó rendelkezések irányadóak, mivel adatkezelőnek a helyettesített ügyvéd minősül, akinek a nevében a helyettes ügyvéd eljár. Amennyiben a helyettes ügyvéd (önálló adatkezelésre is feljogosító) megbízása közvetlenül a megbízótól ered, ő is adatkezelőnek minősül.</w:t>
      </w:r>
    </w:p>
    <w:p w14:paraId="57EEE628" w14:textId="04AD402F" w:rsidR="00835261" w:rsidRDefault="00835261" w:rsidP="00835261">
      <w:pPr>
        <w:spacing w:after="0" w:line="240" w:lineRule="auto"/>
        <w:ind w:right="-567"/>
        <w:jc w:val="both"/>
        <w:rPr>
          <w:rFonts w:ascii="Times New Roman" w:hAnsi="Times New Roman" w:cs="Times New Roman"/>
          <w:b/>
          <w:sz w:val="24"/>
          <w:szCs w:val="24"/>
        </w:rPr>
      </w:pPr>
      <w:r w:rsidRPr="00835261">
        <w:rPr>
          <w:rFonts w:ascii="Times New Roman" w:hAnsi="Times New Roman" w:cs="Times New Roman"/>
          <w:b/>
          <w:sz w:val="24"/>
          <w:szCs w:val="24"/>
        </w:rPr>
        <w:t>IV. Az ügyvéd az ügyfele tekintetében – amennyiben az ügyvéd és megbízója közötti külön megállapodásából vagy esetlegesen egyéb kivételes körülményből más nem következik – nem minősül az ügyfelével közös adatkezelőnek.</w:t>
      </w:r>
    </w:p>
    <w:p w14:paraId="3C1991E5" w14:textId="77777777" w:rsidR="002C5BE0" w:rsidRDefault="002C5BE0" w:rsidP="00835261">
      <w:pPr>
        <w:spacing w:after="0" w:line="240" w:lineRule="auto"/>
        <w:ind w:right="-567"/>
        <w:jc w:val="both"/>
        <w:rPr>
          <w:rFonts w:ascii="Times New Roman" w:hAnsi="Times New Roman" w:cs="Times New Roman"/>
          <w:b/>
          <w:sz w:val="24"/>
          <w:szCs w:val="24"/>
        </w:rPr>
      </w:pPr>
    </w:p>
    <w:p w14:paraId="6C23D8F0" w14:textId="77777777" w:rsidR="002C5BE0" w:rsidRPr="000D14A6" w:rsidRDefault="002C5BE0" w:rsidP="002C5BE0">
      <w:pPr>
        <w:spacing w:after="0" w:line="240" w:lineRule="auto"/>
        <w:jc w:val="center"/>
        <w:rPr>
          <w:rFonts w:ascii="Times New Roman" w:hAnsi="Times New Roman" w:cs="Times New Roman"/>
          <w:sz w:val="24"/>
          <w:szCs w:val="24"/>
        </w:rPr>
      </w:pPr>
      <w:r w:rsidRPr="000D14A6">
        <w:rPr>
          <w:rFonts w:ascii="Times New Roman" w:hAnsi="Times New Roman" w:cs="Times New Roman"/>
          <w:sz w:val="24"/>
          <w:szCs w:val="24"/>
        </w:rPr>
        <w:t>Indokolás</w:t>
      </w:r>
    </w:p>
    <w:p w14:paraId="36466E1E" w14:textId="77777777" w:rsidR="002C5BE0" w:rsidRDefault="002C5BE0" w:rsidP="002C5BE0">
      <w:pPr>
        <w:spacing w:after="0" w:line="240" w:lineRule="auto"/>
        <w:jc w:val="both"/>
        <w:rPr>
          <w:rFonts w:ascii="Times New Roman" w:hAnsi="Times New Roman" w:cs="Times New Roman"/>
          <w:sz w:val="24"/>
          <w:szCs w:val="24"/>
        </w:rPr>
      </w:pPr>
    </w:p>
    <w:p w14:paraId="46FB4359" w14:textId="77777777" w:rsidR="002C5BE0" w:rsidRPr="000D14A6" w:rsidRDefault="002C5BE0" w:rsidP="002C5BE0">
      <w:pPr>
        <w:spacing w:after="0" w:line="240" w:lineRule="auto"/>
        <w:jc w:val="both"/>
        <w:rPr>
          <w:rFonts w:ascii="Times New Roman" w:hAnsi="Times New Roman" w:cs="Times New Roman"/>
          <w:sz w:val="24"/>
          <w:szCs w:val="24"/>
        </w:rPr>
      </w:pPr>
      <w:r w:rsidRPr="000D14A6">
        <w:rPr>
          <w:rFonts w:ascii="Times New Roman" w:hAnsi="Times New Roman" w:cs="Times New Roman"/>
          <w:sz w:val="24"/>
          <w:szCs w:val="24"/>
        </w:rPr>
        <w:t>A GDPR</w:t>
      </w:r>
      <w:r>
        <w:rPr>
          <w:rFonts w:ascii="Times New Roman" w:hAnsi="Times New Roman" w:cs="Times New Roman"/>
          <w:sz w:val="24"/>
          <w:szCs w:val="24"/>
        </w:rPr>
        <w:t xml:space="preserve"> 4. cikkének értelmező rendelkezései szerint:</w:t>
      </w:r>
    </w:p>
    <w:p w14:paraId="30538DFE" w14:textId="77777777" w:rsidR="002C5BE0" w:rsidRPr="00614286" w:rsidRDefault="002C5BE0" w:rsidP="002C5BE0">
      <w:pPr>
        <w:spacing w:after="0" w:line="240" w:lineRule="auto"/>
        <w:ind w:left="426"/>
        <w:jc w:val="both"/>
        <w:rPr>
          <w:rFonts w:ascii="Times New Roman" w:hAnsi="Times New Roman" w:cs="Times New Roman"/>
          <w:i/>
          <w:sz w:val="24"/>
          <w:szCs w:val="24"/>
        </w:rPr>
      </w:pPr>
      <w:r w:rsidRPr="00614286">
        <w:rPr>
          <w:rFonts w:ascii="Times New Roman" w:hAnsi="Times New Roman" w:cs="Times New Roman"/>
          <w:i/>
          <w:sz w:val="24"/>
          <w:szCs w:val="24"/>
        </w:rPr>
        <w:t>2.</w:t>
      </w:r>
      <w:r w:rsidRPr="00614286">
        <w:rPr>
          <w:rFonts w:ascii="Times New Roman" w:hAnsi="Times New Roman" w:cs="Times New Roman"/>
          <w:i/>
          <w:sz w:val="24"/>
          <w:szCs w:val="24"/>
        </w:rPr>
        <w:tab/>
        <w:t>„</w:t>
      </w:r>
      <w:r w:rsidRPr="00FF163D">
        <w:rPr>
          <w:rFonts w:ascii="Times New Roman" w:hAnsi="Times New Roman" w:cs="Times New Roman"/>
          <w:b/>
          <w:i/>
          <w:sz w:val="24"/>
          <w:szCs w:val="24"/>
        </w:rPr>
        <w:t>adatkezelés</w:t>
      </w:r>
      <w:r w:rsidRPr="00614286">
        <w:rPr>
          <w:rFonts w:ascii="Times New Roman" w:hAnsi="Times New Roman" w:cs="Times New Roman"/>
          <w:i/>
          <w:sz w:val="24"/>
          <w:szCs w:val="24"/>
        </w:rPr>
        <w:t>”: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107B08E4" w14:textId="77777777" w:rsidR="002C5BE0" w:rsidRPr="00614286" w:rsidRDefault="002C5BE0" w:rsidP="002C5BE0">
      <w:pPr>
        <w:spacing w:after="0" w:line="240" w:lineRule="auto"/>
        <w:ind w:left="426"/>
        <w:jc w:val="both"/>
        <w:rPr>
          <w:rFonts w:ascii="Times New Roman" w:hAnsi="Times New Roman" w:cs="Times New Roman"/>
          <w:i/>
          <w:sz w:val="24"/>
          <w:szCs w:val="24"/>
        </w:rPr>
      </w:pPr>
      <w:r w:rsidRPr="00614286">
        <w:rPr>
          <w:rFonts w:ascii="Times New Roman" w:hAnsi="Times New Roman" w:cs="Times New Roman"/>
          <w:i/>
          <w:sz w:val="24"/>
          <w:szCs w:val="24"/>
        </w:rPr>
        <w:t>7. „</w:t>
      </w:r>
      <w:r w:rsidRPr="00FF163D">
        <w:rPr>
          <w:rFonts w:ascii="Times New Roman" w:hAnsi="Times New Roman" w:cs="Times New Roman"/>
          <w:b/>
          <w:i/>
          <w:sz w:val="24"/>
          <w:szCs w:val="24"/>
        </w:rPr>
        <w:t>adatkezelő</w:t>
      </w:r>
      <w:r w:rsidRPr="00614286">
        <w:rPr>
          <w:rFonts w:ascii="Times New Roman" w:hAnsi="Times New Roman" w:cs="Times New Roman"/>
          <w:i/>
          <w:sz w:val="24"/>
          <w:szCs w:val="24"/>
        </w:rPr>
        <w:t xml:space="preserve">”: az a természetes vagy jogi személy, közhatalmi szerv, ügynökség vagy bármely egyéb szerv, amely a személyes adatok kezelésének </w:t>
      </w:r>
      <w:r w:rsidRPr="00343DE9">
        <w:rPr>
          <w:rFonts w:ascii="Times New Roman" w:hAnsi="Times New Roman" w:cs="Times New Roman"/>
          <w:b/>
          <w:i/>
          <w:smallCaps/>
          <w:sz w:val="24"/>
          <w:szCs w:val="24"/>
        </w:rPr>
        <w:t>céljait és eszközeit önállóan vagy másokkal együtt meghatározza</w:t>
      </w:r>
      <w:r w:rsidRPr="00614286">
        <w:rPr>
          <w:rFonts w:ascii="Times New Roman" w:hAnsi="Times New Roman" w:cs="Times New Roman"/>
          <w:i/>
          <w:sz w:val="24"/>
          <w:szCs w:val="24"/>
        </w:rPr>
        <w:t>; ha az adatkezelés céljait és eszközeit az uniós vagy a tagállami jog határozza meg, az adatkezelőt vagy az adatkezelő kijelölésére vonatkozó különös szempontokat az uniós vagy a tagállami jog is meghatározhatja;</w:t>
      </w:r>
    </w:p>
    <w:p w14:paraId="5B10CE78" w14:textId="77777777" w:rsidR="002C5BE0" w:rsidRDefault="002C5BE0" w:rsidP="002C5BE0">
      <w:pPr>
        <w:spacing w:after="0" w:line="240" w:lineRule="auto"/>
        <w:ind w:left="426"/>
        <w:jc w:val="both"/>
        <w:rPr>
          <w:rFonts w:ascii="Times New Roman" w:hAnsi="Times New Roman" w:cs="Times New Roman"/>
          <w:i/>
          <w:sz w:val="24"/>
          <w:szCs w:val="24"/>
        </w:rPr>
      </w:pPr>
      <w:r w:rsidRPr="00614286">
        <w:rPr>
          <w:rFonts w:ascii="Times New Roman" w:hAnsi="Times New Roman" w:cs="Times New Roman"/>
          <w:i/>
          <w:sz w:val="24"/>
          <w:szCs w:val="24"/>
        </w:rPr>
        <w:t>8.</w:t>
      </w:r>
      <w:r w:rsidRPr="00614286">
        <w:rPr>
          <w:rFonts w:ascii="Times New Roman" w:hAnsi="Times New Roman" w:cs="Times New Roman"/>
          <w:i/>
          <w:sz w:val="24"/>
          <w:szCs w:val="24"/>
        </w:rPr>
        <w:tab/>
        <w:t>„</w:t>
      </w:r>
      <w:r w:rsidRPr="00FF163D">
        <w:rPr>
          <w:rFonts w:ascii="Times New Roman" w:hAnsi="Times New Roman" w:cs="Times New Roman"/>
          <w:b/>
          <w:i/>
          <w:sz w:val="24"/>
          <w:szCs w:val="24"/>
        </w:rPr>
        <w:t>adatfeldolgozó</w:t>
      </w:r>
      <w:r w:rsidRPr="00614286">
        <w:rPr>
          <w:rFonts w:ascii="Times New Roman" w:hAnsi="Times New Roman" w:cs="Times New Roman"/>
          <w:i/>
          <w:sz w:val="24"/>
          <w:szCs w:val="24"/>
        </w:rPr>
        <w:t xml:space="preserve">”: az a természetes vagy jogi személy, közhatalmi szerv, ügynökség vagy bármely egyéb szerv, amely az </w:t>
      </w:r>
      <w:r w:rsidRPr="00343DE9">
        <w:rPr>
          <w:rFonts w:ascii="Times New Roman" w:hAnsi="Times New Roman" w:cs="Times New Roman"/>
          <w:b/>
          <w:i/>
          <w:smallCaps/>
          <w:sz w:val="24"/>
          <w:szCs w:val="24"/>
        </w:rPr>
        <w:t>adatkezelő nevében</w:t>
      </w:r>
      <w:r w:rsidRPr="00614286">
        <w:rPr>
          <w:rFonts w:ascii="Times New Roman" w:hAnsi="Times New Roman" w:cs="Times New Roman"/>
          <w:i/>
          <w:sz w:val="24"/>
          <w:szCs w:val="24"/>
        </w:rPr>
        <w:t xml:space="preserve"> személyes adatokat </w:t>
      </w:r>
      <w:r w:rsidRPr="00343DE9">
        <w:rPr>
          <w:rFonts w:ascii="Times New Roman" w:hAnsi="Times New Roman" w:cs="Times New Roman"/>
          <w:b/>
          <w:i/>
          <w:smallCaps/>
          <w:sz w:val="24"/>
          <w:szCs w:val="24"/>
        </w:rPr>
        <w:t>kezel</w:t>
      </w:r>
      <w:r w:rsidRPr="00614286">
        <w:rPr>
          <w:rFonts w:ascii="Times New Roman" w:hAnsi="Times New Roman" w:cs="Times New Roman"/>
          <w:i/>
          <w:sz w:val="24"/>
          <w:szCs w:val="24"/>
        </w:rPr>
        <w:t>;</w:t>
      </w:r>
    </w:p>
    <w:p w14:paraId="2ECDC1EA" w14:textId="77777777" w:rsidR="002C5BE0" w:rsidRDefault="002C5BE0" w:rsidP="002C5BE0">
      <w:pPr>
        <w:spacing w:after="0" w:line="240" w:lineRule="auto"/>
        <w:jc w:val="both"/>
        <w:rPr>
          <w:rFonts w:ascii="Times New Roman" w:hAnsi="Times New Roman" w:cs="Times New Roman"/>
          <w:i/>
          <w:sz w:val="24"/>
          <w:szCs w:val="24"/>
        </w:rPr>
      </w:pPr>
    </w:p>
    <w:p w14:paraId="2694EC33" w14:textId="77777777" w:rsidR="002C5BE0" w:rsidRDefault="002C5BE0" w:rsidP="002C5B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GDPR 6. cikk (1) bekezdése szerint</w:t>
      </w:r>
    </w:p>
    <w:p w14:paraId="3A36313A" w14:textId="77777777" w:rsidR="002C5BE0" w:rsidRPr="00952264" w:rsidRDefault="002C5BE0" w:rsidP="002C5BE0">
      <w:pPr>
        <w:spacing w:after="60" w:line="240" w:lineRule="auto"/>
        <w:ind w:left="567"/>
        <w:jc w:val="both"/>
        <w:rPr>
          <w:rFonts w:ascii="Times New Roman" w:hAnsi="Times New Roman" w:cs="Times New Roman"/>
          <w:i/>
          <w:sz w:val="24"/>
          <w:szCs w:val="24"/>
        </w:rPr>
      </w:pPr>
      <w:r w:rsidRPr="00952264">
        <w:rPr>
          <w:rFonts w:ascii="Times New Roman" w:hAnsi="Times New Roman" w:cs="Times New Roman"/>
          <w:i/>
          <w:sz w:val="24"/>
          <w:szCs w:val="24"/>
        </w:rPr>
        <w:t xml:space="preserve">A személyes adatok </w:t>
      </w:r>
      <w:r w:rsidRPr="00952264">
        <w:rPr>
          <w:rFonts w:ascii="Times New Roman" w:hAnsi="Times New Roman" w:cs="Times New Roman"/>
          <w:b/>
          <w:i/>
          <w:sz w:val="24"/>
          <w:szCs w:val="24"/>
        </w:rPr>
        <w:t>kezelése</w:t>
      </w:r>
      <w:r w:rsidRPr="00952264">
        <w:rPr>
          <w:rFonts w:ascii="Times New Roman" w:hAnsi="Times New Roman" w:cs="Times New Roman"/>
          <w:i/>
          <w:sz w:val="24"/>
          <w:szCs w:val="24"/>
        </w:rPr>
        <w:t xml:space="preserve"> </w:t>
      </w:r>
      <w:r w:rsidRPr="00343DE9">
        <w:rPr>
          <w:rFonts w:ascii="Times New Roman" w:hAnsi="Times New Roman" w:cs="Times New Roman"/>
          <w:b/>
          <w:i/>
          <w:smallCaps/>
          <w:sz w:val="24"/>
          <w:szCs w:val="24"/>
        </w:rPr>
        <w:t>kizárólag akkor és annyiban jogszerű</w:t>
      </w:r>
      <w:r w:rsidRPr="00952264">
        <w:rPr>
          <w:rFonts w:ascii="Times New Roman" w:hAnsi="Times New Roman" w:cs="Times New Roman"/>
          <w:i/>
          <w:sz w:val="24"/>
          <w:szCs w:val="24"/>
        </w:rPr>
        <w:t xml:space="preserve">, amennyiben </w:t>
      </w:r>
      <w:r w:rsidRPr="00952264">
        <w:rPr>
          <w:rFonts w:ascii="Times New Roman" w:hAnsi="Times New Roman" w:cs="Times New Roman"/>
          <w:b/>
          <w:i/>
          <w:sz w:val="24"/>
          <w:szCs w:val="24"/>
        </w:rPr>
        <w:t>legalább</w:t>
      </w:r>
      <w:r w:rsidRPr="00952264">
        <w:rPr>
          <w:rFonts w:ascii="Times New Roman" w:hAnsi="Times New Roman" w:cs="Times New Roman"/>
          <w:i/>
          <w:sz w:val="24"/>
          <w:szCs w:val="24"/>
        </w:rPr>
        <w:t xml:space="preserve"> az alábbiak </w:t>
      </w:r>
      <w:r w:rsidRPr="00952264">
        <w:rPr>
          <w:rFonts w:ascii="Times New Roman" w:hAnsi="Times New Roman" w:cs="Times New Roman"/>
          <w:b/>
          <w:i/>
          <w:sz w:val="24"/>
          <w:szCs w:val="24"/>
        </w:rPr>
        <w:t>egyike</w:t>
      </w:r>
      <w:r w:rsidRPr="00952264">
        <w:rPr>
          <w:rFonts w:ascii="Times New Roman" w:hAnsi="Times New Roman" w:cs="Times New Roman"/>
          <w:i/>
          <w:sz w:val="24"/>
          <w:szCs w:val="24"/>
        </w:rPr>
        <w:t xml:space="preserve"> teljesül:</w:t>
      </w:r>
    </w:p>
    <w:p w14:paraId="4C0B4999" w14:textId="77777777" w:rsidR="002C5BE0" w:rsidRPr="00952264" w:rsidRDefault="002C5BE0" w:rsidP="002C5BE0">
      <w:pPr>
        <w:spacing w:after="60" w:line="240" w:lineRule="auto"/>
        <w:ind w:left="567"/>
        <w:jc w:val="both"/>
        <w:rPr>
          <w:rFonts w:ascii="Times New Roman" w:hAnsi="Times New Roman" w:cs="Times New Roman"/>
          <w:i/>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754"/>
        <w:gridCol w:w="8318"/>
      </w:tblGrid>
      <w:tr w:rsidR="002C5BE0" w:rsidRPr="00952264" w14:paraId="1A2F246D" w14:textId="77777777" w:rsidTr="00995BB0">
        <w:tc>
          <w:tcPr>
            <w:tcW w:w="0" w:type="auto"/>
            <w:shd w:val="clear" w:color="auto" w:fill="FFFFFF"/>
            <w:hideMark/>
          </w:tcPr>
          <w:p w14:paraId="68135004" w14:textId="77777777" w:rsidR="002C5BE0" w:rsidRPr="00952264" w:rsidRDefault="002C5BE0" w:rsidP="00995BB0">
            <w:pPr>
              <w:spacing w:after="60" w:line="240" w:lineRule="auto"/>
              <w:ind w:left="567"/>
              <w:jc w:val="both"/>
              <w:rPr>
                <w:rFonts w:ascii="Times New Roman" w:hAnsi="Times New Roman" w:cs="Times New Roman"/>
                <w:i/>
                <w:sz w:val="24"/>
                <w:szCs w:val="24"/>
              </w:rPr>
            </w:pPr>
            <w:r w:rsidRPr="00952264">
              <w:rPr>
                <w:rFonts w:ascii="Times New Roman" w:hAnsi="Times New Roman" w:cs="Times New Roman"/>
                <w:i/>
                <w:sz w:val="24"/>
                <w:szCs w:val="24"/>
              </w:rPr>
              <w:t>c)</w:t>
            </w:r>
          </w:p>
        </w:tc>
        <w:tc>
          <w:tcPr>
            <w:tcW w:w="0" w:type="auto"/>
            <w:shd w:val="clear" w:color="auto" w:fill="FFFFFF"/>
            <w:hideMark/>
          </w:tcPr>
          <w:p w14:paraId="47F196B3" w14:textId="77777777" w:rsidR="002C5BE0" w:rsidRPr="00952264" w:rsidRDefault="002C5BE0" w:rsidP="00995BB0">
            <w:pPr>
              <w:spacing w:after="60" w:line="240" w:lineRule="auto"/>
              <w:ind w:left="567"/>
              <w:jc w:val="both"/>
              <w:rPr>
                <w:rFonts w:ascii="Times New Roman" w:hAnsi="Times New Roman" w:cs="Times New Roman"/>
                <w:i/>
                <w:sz w:val="24"/>
                <w:szCs w:val="24"/>
              </w:rPr>
            </w:pPr>
            <w:r w:rsidRPr="00952264">
              <w:rPr>
                <w:rFonts w:ascii="Times New Roman" w:hAnsi="Times New Roman" w:cs="Times New Roman"/>
                <w:i/>
                <w:sz w:val="24"/>
                <w:szCs w:val="24"/>
              </w:rPr>
              <w:t xml:space="preserve">az adatkezelés az </w:t>
            </w:r>
            <w:r w:rsidRPr="00952264">
              <w:rPr>
                <w:rFonts w:ascii="Times New Roman" w:hAnsi="Times New Roman" w:cs="Times New Roman"/>
                <w:b/>
                <w:i/>
                <w:sz w:val="24"/>
                <w:szCs w:val="24"/>
              </w:rPr>
              <w:t>adatkezelőre vonatkozó jogi kötelezettség teljesítéséhez szükséges</w:t>
            </w:r>
            <w:r w:rsidRPr="00952264">
              <w:rPr>
                <w:rFonts w:ascii="Times New Roman" w:hAnsi="Times New Roman" w:cs="Times New Roman"/>
                <w:i/>
                <w:sz w:val="24"/>
                <w:szCs w:val="24"/>
              </w:rPr>
              <w:t>;</w:t>
            </w:r>
          </w:p>
        </w:tc>
      </w:tr>
    </w:tbl>
    <w:p w14:paraId="1D952372" w14:textId="77777777" w:rsidR="002C5BE0" w:rsidRPr="00952264" w:rsidRDefault="002C5BE0" w:rsidP="002C5BE0">
      <w:pPr>
        <w:spacing w:after="60" w:line="240" w:lineRule="auto"/>
        <w:ind w:left="567"/>
        <w:jc w:val="both"/>
        <w:rPr>
          <w:rFonts w:ascii="Times New Roman" w:hAnsi="Times New Roman" w:cs="Times New Roman"/>
          <w:i/>
          <w:vanish/>
          <w:sz w:val="24"/>
          <w:szCs w:val="24"/>
        </w:rPr>
      </w:pPr>
    </w:p>
    <w:p w14:paraId="7D7D8894" w14:textId="77777777" w:rsidR="002C5BE0" w:rsidRPr="00952264" w:rsidRDefault="002C5BE0" w:rsidP="002C5BE0">
      <w:pPr>
        <w:spacing w:after="60" w:line="240" w:lineRule="auto"/>
        <w:ind w:left="567"/>
        <w:jc w:val="both"/>
        <w:rPr>
          <w:rFonts w:ascii="Times New Roman" w:hAnsi="Times New Roman" w:cs="Times New Roman"/>
          <w:i/>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754"/>
        <w:gridCol w:w="8318"/>
      </w:tblGrid>
      <w:tr w:rsidR="002C5BE0" w:rsidRPr="00952264" w14:paraId="6D10F250" w14:textId="77777777" w:rsidTr="00995BB0">
        <w:tc>
          <w:tcPr>
            <w:tcW w:w="0" w:type="auto"/>
            <w:shd w:val="clear" w:color="auto" w:fill="FFFFFF"/>
            <w:hideMark/>
          </w:tcPr>
          <w:p w14:paraId="53ED907F" w14:textId="77777777" w:rsidR="002C5BE0" w:rsidRPr="00952264" w:rsidRDefault="002C5BE0" w:rsidP="00995BB0">
            <w:pPr>
              <w:spacing w:after="60" w:line="240" w:lineRule="auto"/>
              <w:ind w:left="567"/>
              <w:jc w:val="both"/>
              <w:rPr>
                <w:rFonts w:ascii="Times New Roman" w:hAnsi="Times New Roman" w:cs="Times New Roman"/>
                <w:i/>
                <w:sz w:val="24"/>
                <w:szCs w:val="24"/>
              </w:rPr>
            </w:pPr>
            <w:r w:rsidRPr="00952264">
              <w:rPr>
                <w:rFonts w:ascii="Times New Roman" w:hAnsi="Times New Roman" w:cs="Times New Roman"/>
                <w:i/>
                <w:sz w:val="24"/>
                <w:szCs w:val="24"/>
              </w:rPr>
              <w:t>e)</w:t>
            </w:r>
          </w:p>
        </w:tc>
        <w:tc>
          <w:tcPr>
            <w:tcW w:w="0" w:type="auto"/>
            <w:shd w:val="clear" w:color="auto" w:fill="FFFFFF"/>
            <w:hideMark/>
          </w:tcPr>
          <w:p w14:paraId="5BCD465B" w14:textId="77777777" w:rsidR="002C5BE0" w:rsidRPr="00952264" w:rsidRDefault="002C5BE0" w:rsidP="00995BB0">
            <w:pPr>
              <w:spacing w:after="60" w:line="240" w:lineRule="auto"/>
              <w:ind w:left="567"/>
              <w:jc w:val="both"/>
              <w:rPr>
                <w:rFonts w:ascii="Times New Roman" w:hAnsi="Times New Roman" w:cs="Times New Roman"/>
                <w:i/>
                <w:sz w:val="24"/>
                <w:szCs w:val="24"/>
              </w:rPr>
            </w:pPr>
            <w:r w:rsidRPr="00952264">
              <w:rPr>
                <w:rFonts w:ascii="Times New Roman" w:hAnsi="Times New Roman" w:cs="Times New Roman"/>
                <w:i/>
                <w:sz w:val="24"/>
                <w:szCs w:val="24"/>
              </w:rPr>
              <w:t xml:space="preserve">az adatkezelés </w:t>
            </w:r>
            <w:r w:rsidRPr="006A4F4F">
              <w:rPr>
                <w:rFonts w:ascii="Times New Roman" w:hAnsi="Times New Roman" w:cs="Times New Roman"/>
                <w:b/>
                <w:i/>
                <w:sz w:val="24"/>
                <w:szCs w:val="24"/>
              </w:rPr>
              <w:t>közérdekű</w:t>
            </w:r>
            <w:r w:rsidRPr="00952264">
              <w:rPr>
                <w:rFonts w:ascii="Times New Roman" w:hAnsi="Times New Roman" w:cs="Times New Roman"/>
                <w:i/>
                <w:sz w:val="24"/>
                <w:szCs w:val="24"/>
              </w:rPr>
              <w:t xml:space="preserve"> vagy az adatkezelőre ruházott közhatalmi jogosítvány gyakorlásának keretében végzett </w:t>
            </w:r>
            <w:r w:rsidRPr="006A4F4F">
              <w:rPr>
                <w:rFonts w:ascii="Times New Roman" w:hAnsi="Times New Roman" w:cs="Times New Roman"/>
                <w:b/>
                <w:i/>
                <w:sz w:val="24"/>
                <w:szCs w:val="24"/>
              </w:rPr>
              <w:t>feladat végrehajtásához szükséges</w:t>
            </w:r>
            <w:r w:rsidRPr="00952264">
              <w:rPr>
                <w:rFonts w:ascii="Times New Roman" w:hAnsi="Times New Roman" w:cs="Times New Roman"/>
                <w:i/>
                <w:sz w:val="24"/>
                <w:szCs w:val="24"/>
              </w:rPr>
              <w:t>;</w:t>
            </w:r>
          </w:p>
        </w:tc>
      </w:tr>
    </w:tbl>
    <w:p w14:paraId="3E2CDE6C" w14:textId="77777777" w:rsidR="002C5BE0" w:rsidRDefault="002C5BE0" w:rsidP="002C5BE0">
      <w:pPr>
        <w:spacing w:after="0" w:line="240" w:lineRule="auto"/>
        <w:jc w:val="both"/>
        <w:rPr>
          <w:rFonts w:ascii="Times New Roman" w:hAnsi="Times New Roman" w:cs="Times New Roman"/>
          <w:i/>
          <w:sz w:val="24"/>
          <w:szCs w:val="24"/>
        </w:rPr>
      </w:pPr>
    </w:p>
    <w:p w14:paraId="5A5DBCB6" w14:textId="77777777" w:rsidR="002C5BE0" w:rsidRDefault="002C5BE0" w:rsidP="002C5B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 GDPR 26. cikke szerint</w:t>
      </w:r>
    </w:p>
    <w:p w14:paraId="591D6609" w14:textId="77777777" w:rsidR="002C5BE0" w:rsidRPr="00343DE9" w:rsidRDefault="002C5BE0" w:rsidP="002C5BE0">
      <w:pPr>
        <w:pStyle w:val="Norml2"/>
        <w:shd w:val="clear" w:color="auto" w:fill="FFFFFF"/>
        <w:spacing w:before="120" w:beforeAutospacing="0" w:after="0" w:afterAutospacing="0"/>
        <w:ind w:left="708" w:firstLine="60"/>
        <w:jc w:val="both"/>
        <w:rPr>
          <w:i/>
          <w:color w:val="000000"/>
        </w:rPr>
      </w:pPr>
      <w:r w:rsidRPr="00343DE9">
        <w:rPr>
          <w:i/>
          <w:color w:val="000000"/>
        </w:rPr>
        <w:t>(1)   Ha az adatkezelés céljait és eszközeit két vagy több adatkezelő közösen határozza meg, azok közös adatkezelőknek minősülnek. A közös adatkezelők átlátható módon, a közöttük létrejött megállapodásban határozzák meg az e rendelet szerinti kötelezettségek teljesítéséért fennálló, különösen az érintett jogainak gyakorlásával és a 13. és a 14. cikkben említett információk rendelkezésre bocsátásával kapcsolatos feladataikkal összefüggő felelősségük megoszlását, kivéve azt az esetet és annyiban, ha és amennyiben az adatkezelőkre vonatkozó felelősség megoszlását a rájuk alkalmazandó uniós vagy tagállami jog határozza meg. A megállapodásban az érintettek számára kapcsolattartót lehet kijelölni.</w:t>
      </w:r>
    </w:p>
    <w:p w14:paraId="57E051E4" w14:textId="77777777" w:rsidR="002C5BE0" w:rsidRPr="00343DE9" w:rsidRDefault="002C5BE0" w:rsidP="002C5BE0">
      <w:pPr>
        <w:pStyle w:val="Norml2"/>
        <w:shd w:val="clear" w:color="auto" w:fill="FFFFFF"/>
        <w:spacing w:before="120" w:beforeAutospacing="0" w:after="0" w:afterAutospacing="0"/>
        <w:ind w:left="708"/>
        <w:jc w:val="both"/>
        <w:rPr>
          <w:i/>
          <w:color w:val="000000"/>
        </w:rPr>
      </w:pPr>
      <w:r w:rsidRPr="00343DE9">
        <w:rPr>
          <w:i/>
          <w:color w:val="000000"/>
        </w:rPr>
        <w:t>(2)   Az (1) bekezdésben említett megállapodásnak megfelelően tükröznie kell a közös adatkezelők érintettekkel szembeni szerepét és a velük való kapcsolatukat. A megállapodás lényegét az érintett rendelkezésére kell bocsátani.</w:t>
      </w:r>
    </w:p>
    <w:p w14:paraId="53B283E0" w14:textId="77777777" w:rsidR="002C5BE0" w:rsidRPr="00343DE9" w:rsidRDefault="002C5BE0" w:rsidP="002C5BE0">
      <w:pPr>
        <w:pStyle w:val="Norml2"/>
        <w:shd w:val="clear" w:color="auto" w:fill="FFFFFF"/>
        <w:spacing w:before="120" w:beforeAutospacing="0" w:after="0" w:afterAutospacing="0"/>
        <w:ind w:left="708"/>
        <w:jc w:val="both"/>
        <w:rPr>
          <w:i/>
          <w:color w:val="000000"/>
        </w:rPr>
      </w:pPr>
      <w:r w:rsidRPr="00343DE9">
        <w:rPr>
          <w:i/>
          <w:color w:val="000000"/>
        </w:rPr>
        <w:t>(3)   Az érintett az (1) bekezdésben említett megállapodás feltételeitől függetlenül mindegyik adatkezelő vonatkozásában és mindegyik adatkezelővel szemben gyakorolhatja az e rendelet szerinti jogait.</w:t>
      </w:r>
    </w:p>
    <w:p w14:paraId="0279FF5F" w14:textId="77777777" w:rsidR="002C5BE0" w:rsidRDefault="002C5BE0" w:rsidP="002C5BE0">
      <w:pPr>
        <w:spacing w:after="0" w:line="240" w:lineRule="auto"/>
        <w:jc w:val="both"/>
        <w:rPr>
          <w:rFonts w:ascii="Times New Roman" w:hAnsi="Times New Roman" w:cs="Times New Roman"/>
          <w:i/>
          <w:sz w:val="24"/>
          <w:szCs w:val="24"/>
        </w:rPr>
      </w:pPr>
    </w:p>
    <w:p w14:paraId="1D468E92" w14:textId="77777777" w:rsidR="002C5BE0" w:rsidRDefault="002C5BE0" w:rsidP="002C5BE0">
      <w:pPr>
        <w:shd w:val="clear" w:color="auto" w:fill="FFFFFF"/>
        <w:spacing w:before="120"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GDPR 28. cikk </w:t>
      </w:r>
      <w:r w:rsidRPr="000D14A6">
        <w:rPr>
          <w:rFonts w:ascii="Times New Roman" w:eastAsia="Times New Roman" w:hAnsi="Times New Roman" w:cs="Times New Roman"/>
          <w:color w:val="000000"/>
          <w:sz w:val="24"/>
          <w:szCs w:val="24"/>
          <w:lang w:eastAsia="hu-HU"/>
        </w:rPr>
        <w:t>(3)</w:t>
      </w:r>
      <w:r>
        <w:rPr>
          <w:rFonts w:ascii="Times New Roman" w:eastAsia="Times New Roman" w:hAnsi="Times New Roman" w:cs="Times New Roman"/>
          <w:color w:val="000000"/>
          <w:sz w:val="24"/>
          <w:szCs w:val="24"/>
          <w:lang w:eastAsia="hu-HU"/>
        </w:rPr>
        <w:t xml:space="preserve"> bekezdése szerint:</w:t>
      </w:r>
    </w:p>
    <w:p w14:paraId="36D82D37" w14:textId="77777777" w:rsidR="002C5BE0" w:rsidRPr="000D14A6" w:rsidRDefault="002C5BE0" w:rsidP="002C5BE0">
      <w:pPr>
        <w:shd w:val="clear" w:color="auto" w:fill="FFFFFF"/>
        <w:spacing w:before="120" w:after="0" w:line="240" w:lineRule="auto"/>
        <w:ind w:left="426"/>
        <w:jc w:val="both"/>
        <w:rPr>
          <w:rFonts w:ascii="Times New Roman" w:eastAsia="Times New Roman" w:hAnsi="Times New Roman" w:cs="Times New Roman"/>
          <w:i/>
          <w:color w:val="000000"/>
          <w:sz w:val="24"/>
          <w:szCs w:val="24"/>
          <w:lang w:eastAsia="hu-HU"/>
        </w:rPr>
      </w:pPr>
      <w:r w:rsidRPr="000D14A6">
        <w:rPr>
          <w:rFonts w:ascii="Times New Roman" w:eastAsia="Times New Roman" w:hAnsi="Times New Roman" w:cs="Times New Roman"/>
          <w:b/>
          <w:i/>
          <w:color w:val="000000"/>
          <w:sz w:val="24"/>
          <w:szCs w:val="24"/>
          <w:lang w:eastAsia="hu-HU"/>
        </w:rPr>
        <w:t>Az adatfeldolgozó által végzett adatkezelést</w:t>
      </w:r>
      <w:r w:rsidRPr="000D14A6">
        <w:rPr>
          <w:rFonts w:ascii="Times New Roman" w:eastAsia="Times New Roman" w:hAnsi="Times New Roman" w:cs="Times New Roman"/>
          <w:i/>
          <w:color w:val="000000"/>
          <w:sz w:val="24"/>
          <w:szCs w:val="24"/>
          <w:lang w:eastAsia="hu-HU"/>
        </w:rPr>
        <w:t xml:space="preserve"> az uniós jog vagy tagállami jog alapján létrejött olyan – az adatkezelés tárgyát, időtartamát, jellegét és célját, a személyes adatok típusát, az érintettek kategóriáit, valamint az adatkezelő kötelezettségeit és jogait meghatározó –</w:t>
      </w:r>
      <w:r>
        <w:rPr>
          <w:rFonts w:ascii="Times New Roman" w:eastAsia="Times New Roman" w:hAnsi="Times New Roman" w:cs="Times New Roman"/>
          <w:i/>
          <w:color w:val="000000"/>
          <w:sz w:val="24"/>
          <w:szCs w:val="24"/>
          <w:lang w:eastAsia="hu-HU"/>
        </w:rPr>
        <w:t xml:space="preserve"> </w:t>
      </w:r>
      <w:r w:rsidRPr="000D14A6">
        <w:rPr>
          <w:rFonts w:ascii="Times New Roman" w:eastAsia="Times New Roman" w:hAnsi="Times New Roman" w:cs="Times New Roman"/>
          <w:b/>
          <w:i/>
          <w:color w:val="000000"/>
          <w:sz w:val="24"/>
          <w:szCs w:val="24"/>
          <w:lang w:eastAsia="hu-HU"/>
        </w:rPr>
        <w:t>szerződésnek</w:t>
      </w:r>
      <w:r w:rsidRPr="000D14A6">
        <w:rPr>
          <w:rFonts w:ascii="Times New Roman" w:eastAsia="Times New Roman" w:hAnsi="Times New Roman" w:cs="Times New Roman"/>
          <w:i/>
          <w:color w:val="000000"/>
          <w:sz w:val="24"/>
          <w:szCs w:val="24"/>
          <w:lang w:eastAsia="hu-HU"/>
        </w:rPr>
        <w:t xml:space="preserve"> vagy más jogi aktusnak </w:t>
      </w:r>
      <w:r w:rsidRPr="000D14A6">
        <w:rPr>
          <w:rFonts w:ascii="Times New Roman" w:eastAsia="Times New Roman" w:hAnsi="Times New Roman" w:cs="Times New Roman"/>
          <w:b/>
          <w:i/>
          <w:color w:val="000000"/>
          <w:sz w:val="24"/>
          <w:szCs w:val="24"/>
          <w:lang w:eastAsia="hu-HU"/>
        </w:rPr>
        <w:t>kell szabályoznia</w:t>
      </w:r>
      <w:r w:rsidRPr="000D14A6">
        <w:rPr>
          <w:rFonts w:ascii="Times New Roman" w:eastAsia="Times New Roman" w:hAnsi="Times New Roman" w:cs="Times New Roman"/>
          <w:i/>
          <w:color w:val="000000"/>
          <w:sz w:val="24"/>
          <w:szCs w:val="24"/>
          <w:lang w:eastAsia="hu-HU"/>
        </w:rPr>
        <w:t xml:space="preserve">, amely </w:t>
      </w:r>
      <w:r w:rsidRPr="000D14A6">
        <w:rPr>
          <w:rFonts w:ascii="Times New Roman" w:eastAsia="Times New Roman" w:hAnsi="Times New Roman" w:cs="Times New Roman"/>
          <w:b/>
          <w:i/>
          <w:color w:val="000000"/>
          <w:sz w:val="24"/>
          <w:szCs w:val="24"/>
          <w:lang w:eastAsia="hu-HU"/>
        </w:rPr>
        <w:t>köti az adatfeldolgozót az adatkezelővel szemben</w:t>
      </w:r>
      <w:r w:rsidRPr="000D14A6">
        <w:rPr>
          <w:rFonts w:ascii="Times New Roman" w:eastAsia="Times New Roman" w:hAnsi="Times New Roman" w:cs="Times New Roman"/>
          <w:i/>
          <w:color w:val="000000"/>
          <w:sz w:val="24"/>
          <w:szCs w:val="24"/>
          <w:lang w:eastAsia="hu-HU"/>
        </w:rPr>
        <w:t>. A szerződés vagy más jogi aktus különösen előírja, hogy az adatfeldolgozó:</w:t>
      </w:r>
    </w:p>
    <w:tbl>
      <w:tblPr>
        <w:tblW w:w="5000" w:type="pct"/>
        <w:shd w:val="clear" w:color="auto" w:fill="FFFFFF"/>
        <w:tblCellMar>
          <w:left w:w="0" w:type="dxa"/>
          <w:right w:w="0" w:type="dxa"/>
        </w:tblCellMar>
        <w:tblLook w:val="04A0" w:firstRow="1" w:lastRow="0" w:firstColumn="1" w:lastColumn="0" w:noHBand="0" w:noVBand="1"/>
      </w:tblPr>
      <w:tblGrid>
        <w:gridCol w:w="626"/>
        <w:gridCol w:w="8446"/>
      </w:tblGrid>
      <w:tr w:rsidR="002C5BE0" w:rsidRPr="000D14A6" w14:paraId="399573EA" w14:textId="77777777" w:rsidTr="00995BB0">
        <w:tc>
          <w:tcPr>
            <w:tcW w:w="0" w:type="auto"/>
            <w:shd w:val="clear" w:color="auto" w:fill="FFFFFF"/>
            <w:hideMark/>
          </w:tcPr>
          <w:p w14:paraId="1E4B6DF9" w14:textId="77777777" w:rsidR="002C5BE0" w:rsidRPr="000D14A6" w:rsidRDefault="002C5BE0" w:rsidP="00995BB0">
            <w:pPr>
              <w:spacing w:before="120" w:after="0" w:line="240" w:lineRule="auto"/>
              <w:ind w:left="426"/>
              <w:jc w:val="both"/>
              <w:rPr>
                <w:rFonts w:ascii="inherit" w:eastAsia="Times New Roman" w:hAnsi="inherit" w:cs="Times New Roman"/>
                <w:i/>
                <w:color w:val="000000"/>
                <w:sz w:val="24"/>
                <w:szCs w:val="24"/>
                <w:lang w:eastAsia="hu-HU"/>
              </w:rPr>
            </w:pPr>
            <w:r w:rsidRPr="000D14A6">
              <w:rPr>
                <w:rFonts w:ascii="inherit" w:eastAsia="Times New Roman" w:hAnsi="inherit" w:cs="Times New Roman"/>
                <w:i/>
                <w:color w:val="000000"/>
                <w:sz w:val="24"/>
                <w:szCs w:val="24"/>
                <w:lang w:eastAsia="hu-HU"/>
              </w:rPr>
              <w:t>a)</w:t>
            </w:r>
          </w:p>
        </w:tc>
        <w:tc>
          <w:tcPr>
            <w:tcW w:w="0" w:type="auto"/>
            <w:shd w:val="clear" w:color="auto" w:fill="FFFFFF"/>
            <w:hideMark/>
          </w:tcPr>
          <w:p w14:paraId="4EC6BEE0" w14:textId="77777777" w:rsidR="002C5BE0" w:rsidRPr="000D14A6" w:rsidRDefault="002C5BE0" w:rsidP="00995BB0">
            <w:pPr>
              <w:spacing w:before="120" w:after="0" w:line="240" w:lineRule="auto"/>
              <w:ind w:left="426"/>
              <w:jc w:val="both"/>
              <w:rPr>
                <w:rFonts w:ascii="inherit" w:eastAsia="Times New Roman" w:hAnsi="inherit" w:cs="Times New Roman"/>
                <w:i/>
                <w:color w:val="000000"/>
                <w:sz w:val="24"/>
                <w:szCs w:val="24"/>
                <w:lang w:eastAsia="hu-HU"/>
              </w:rPr>
            </w:pPr>
            <w:r w:rsidRPr="000D14A6">
              <w:rPr>
                <w:rFonts w:ascii="inherit" w:eastAsia="Times New Roman" w:hAnsi="inherit" w:cs="Times New Roman"/>
                <w:i/>
                <w:color w:val="000000"/>
                <w:sz w:val="24"/>
                <w:szCs w:val="24"/>
                <w:lang w:eastAsia="hu-HU"/>
              </w:rPr>
              <w:t xml:space="preserve">a személyes adatokat </w:t>
            </w:r>
            <w:r w:rsidRPr="000D14A6">
              <w:rPr>
                <w:rFonts w:ascii="inherit" w:eastAsia="Times New Roman" w:hAnsi="inherit" w:cs="Times New Roman"/>
                <w:b/>
                <w:i/>
                <w:color w:val="000000"/>
                <w:sz w:val="24"/>
                <w:szCs w:val="24"/>
                <w:lang w:eastAsia="hu-HU"/>
              </w:rPr>
              <w:t>kizárólag az adatkezelő írásbeli utasításai alapján kezeli</w:t>
            </w:r>
            <w:r w:rsidRPr="000D14A6">
              <w:rPr>
                <w:rFonts w:ascii="inherit" w:eastAsia="Times New Roman" w:hAnsi="inherit" w:cs="Times New Roman"/>
                <w:i/>
                <w:color w:val="000000"/>
                <w:sz w:val="24"/>
                <w:szCs w:val="24"/>
                <w:lang w:eastAsia="hu-HU"/>
              </w:rPr>
              <w:t xml:space="preserve"> – beleértve a személyes adatoknak valamely harmadik ország vagy nemzetközi szervezet számára való továbbítását is –, kivéve akkor, ha az adatkezelést az adatfeldolgozóra alkalmazandó uniós vagy tagállami jog írja elő; ebben az esetben erről a jogi előírásról az adatfeldolgozó az adatkezelőt az adatkezelést megelőzően értesíti, kivéve, ha az adatkezelő értesítését az adott jogszabály fontos közérdekből tiltja;</w:t>
            </w:r>
          </w:p>
        </w:tc>
      </w:tr>
    </w:tbl>
    <w:p w14:paraId="358C97FF" w14:textId="77777777" w:rsidR="002C5BE0" w:rsidRPr="000D14A6" w:rsidRDefault="002C5BE0" w:rsidP="002C5BE0">
      <w:pPr>
        <w:spacing w:after="0" w:line="240" w:lineRule="auto"/>
        <w:ind w:left="426"/>
        <w:rPr>
          <w:rFonts w:ascii="Times New Roman" w:eastAsia="Times New Roman" w:hAnsi="Times New Roman" w:cs="Times New Roman"/>
          <w:i/>
          <w:vanish/>
          <w:sz w:val="24"/>
          <w:szCs w:val="24"/>
          <w:lang w:eastAsia="hu-HU"/>
        </w:rPr>
      </w:pPr>
    </w:p>
    <w:p w14:paraId="6DAFF01E" w14:textId="77777777" w:rsidR="002C5BE0" w:rsidRPr="000D14A6" w:rsidRDefault="002C5BE0" w:rsidP="002C5BE0">
      <w:pPr>
        <w:spacing w:after="0" w:line="240" w:lineRule="auto"/>
        <w:ind w:left="426"/>
        <w:rPr>
          <w:rFonts w:ascii="Times New Roman" w:eastAsia="Times New Roman" w:hAnsi="Times New Roman" w:cs="Times New Roman"/>
          <w:i/>
          <w:vanish/>
          <w:sz w:val="24"/>
          <w:szCs w:val="24"/>
          <w:lang w:eastAsia="hu-HU"/>
        </w:rPr>
      </w:pPr>
    </w:p>
    <w:tbl>
      <w:tblPr>
        <w:tblW w:w="5000" w:type="pct"/>
        <w:shd w:val="clear" w:color="auto" w:fill="FFFFFF"/>
        <w:tblCellMar>
          <w:left w:w="0" w:type="dxa"/>
          <w:right w:w="0" w:type="dxa"/>
        </w:tblCellMar>
        <w:tblLook w:val="04A0" w:firstRow="1" w:lastRow="0" w:firstColumn="1" w:lastColumn="0" w:noHBand="0" w:noVBand="1"/>
      </w:tblPr>
      <w:tblGrid>
        <w:gridCol w:w="626"/>
        <w:gridCol w:w="8446"/>
      </w:tblGrid>
      <w:tr w:rsidR="002C5BE0" w:rsidRPr="000D14A6" w14:paraId="049D918F" w14:textId="77777777" w:rsidTr="00995BB0">
        <w:tc>
          <w:tcPr>
            <w:tcW w:w="0" w:type="auto"/>
            <w:shd w:val="clear" w:color="auto" w:fill="FFFFFF"/>
            <w:hideMark/>
          </w:tcPr>
          <w:p w14:paraId="119BB0FA" w14:textId="77777777" w:rsidR="002C5BE0" w:rsidRPr="000D14A6" w:rsidRDefault="002C5BE0" w:rsidP="00995BB0">
            <w:pPr>
              <w:spacing w:before="120" w:after="0" w:line="240" w:lineRule="auto"/>
              <w:ind w:left="426"/>
              <w:jc w:val="both"/>
              <w:rPr>
                <w:rFonts w:ascii="inherit" w:eastAsia="Times New Roman" w:hAnsi="inherit" w:cs="Times New Roman"/>
                <w:i/>
                <w:color w:val="000000"/>
                <w:sz w:val="24"/>
                <w:szCs w:val="24"/>
                <w:lang w:eastAsia="hu-HU"/>
              </w:rPr>
            </w:pPr>
            <w:r w:rsidRPr="000D14A6">
              <w:rPr>
                <w:rFonts w:ascii="inherit" w:eastAsia="Times New Roman" w:hAnsi="inherit" w:cs="Times New Roman"/>
                <w:i/>
                <w:color w:val="000000"/>
                <w:sz w:val="24"/>
                <w:szCs w:val="24"/>
                <w:lang w:eastAsia="hu-HU"/>
              </w:rPr>
              <w:t>g)</w:t>
            </w:r>
          </w:p>
        </w:tc>
        <w:tc>
          <w:tcPr>
            <w:tcW w:w="0" w:type="auto"/>
            <w:shd w:val="clear" w:color="auto" w:fill="FFFFFF"/>
            <w:hideMark/>
          </w:tcPr>
          <w:p w14:paraId="1CE126E3" w14:textId="77777777" w:rsidR="002C5BE0" w:rsidRPr="000D14A6" w:rsidRDefault="002C5BE0" w:rsidP="00995BB0">
            <w:pPr>
              <w:spacing w:before="120" w:after="0" w:line="240" w:lineRule="auto"/>
              <w:ind w:left="426"/>
              <w:jc w:val="both"/>
              <w:rPr>
                <w:rFonts w:ascii="inherit" w:eastAsia="Times New Roman" w:hAnsi="inherit" w:cs="Times New Roman"/>
                <w:i/>
                <w:color w:val="000000"/>
                <w:sz w:val="24"/>
                <w:szCs w:val="24"/>
                <w:lang w:eastAsia="hu-HU"/>
              </w:rPr>
            </w:pPr>
            <w:r w:rsidRPr="000D14A6">
              <w:rPr>
                <w:rFonts w:ascii="inherit" w:eastAsia="Times New Roman" w:hAnsi="inherit" w:cs="Times New Roman"/>
                <w:i/>
                <w:color w:val="000000"/>
                <w:sz w:val="24"/>
                <w:szCs w:val="24"/>
                <w:lang w:eastAsia="hu-HU"/>
              </w:rPr>
              <w:t xml:space="preserve">az adatkezelési szolgáltatás nyújtásának befejezését követően </w:t>
            </w:r>
            <w:r w:rsidRPr="000D14A6">
              <w:rPr>
                <w:rFonts w:ascii="inherit" w:eastAsia="Times New Roman" w:hAnsi="inherit" w:cs="Times New Roman"/>
                <w:b/>
                <w:i/>
                <w:color w:val="000000"/>
                <w:sz w:val="24"/>
                <w:szCs w:val="24"/>
                <w:lang w:eastAsia="hu-HU"/>
              </w:rPr>
              <w:t>az adatkezelő döntése alapján minden személyes adatot töröl vagy visszajuttat az adatkezelőnek, és törli a meglévő másolatokat</w:t>
            </w:r>
            <w:r w:rsidRPr="000D14A6">
              <w:rPr>
                <w:rFonts w:ascii="inherit" w:eastAsia="Times New Roman" w:hAnsi="inherit" w:cs="Times New Roman"/>
                <w:i/>
                <w:color w:val="000000"/>
                <w:sz w:val="24"/>
                <w:szCs w:val="24"/>
                <w:lang w:eastAsia="hu-HU"/>
              </w:rPr>
              <w:t>, kivéve, ha az uniós vagy a tagállami jog az személyes adatok tárolását írja elő;</w:t>
            </w:r>
          </w:p>
        </w:tc>
      </w:tr>
    </w:tbl>
    <w:p w14:paraId="2BE5CC2E" w14:textId="77777777" w:rsidR="002C5BE0" w:rsidRPr="000D14A6" w:rsidRDefault="002C5BE0" w:rsidP="002C5BE0">
      <w:pPr>
        <w:spacing w:after="0" w:line="240" w:lineRule="auto"/>
        <w:ind w:left="426"/>
        <w:rPr>
          <w:rFonts w:ascii="Times New Roman" w:eastAsia="Times New Roman" w:hAnsi="Times New Roman" w:cs="Times New Roman"/>
          <w:i/>
          <w:vanish/>
          <w:sz w:val="24"/>
          <w:szCs w:val="24"/>
          <w:lang w:eastAsia="hu-HU"/>
        </w:rPr>
      </w:pPr>
    </w:p>
    <w:tbl>
      <w:tblPr>
        <w:tblW w:w="5000" w:type="pct"/>
        <w:shd w:val="clear" w:color="auto" w:fill="FFFFFF"/>
        <w:tblCellMar>
          <w:left w:w="0" w:type="dxa"/>
          <w:right w:w="0" w:type="dxa"/>
        </w:tblCellMar>
        <w:tblLook w:val="04A0" w:firstRow="1" w:lastRow="0" w:firstColumn="1" w:lastColumn="0" w:noHBand="0" w:noVBand="1"/>
      </w:tblPr>
      <w:tblGrid>
        <w:gridCol w:w="626"/>
        <w:gridCol w:w="8446"/>
      </w:tblGrid>
      <w:tr w:rsidR="002C5BE0" w:rsidRPr="000D14A6" w14:paraId="17D505A6" w14:textId="77777777" w:rsidTr="00995BB0">
        <w:tc>
          <w:tcPr>
            <w:tcW w:w="0" w:type="auto"/>
            <w:shd w:val="clear" w:color="auto" w:fill="FFFFFF"/>
            <w:hideMark/>
          </w:tcPr>
          <w:p w14:paraId="29D6C127" w14:textId="77777777" w:rsidR="002C5BE0" w:rsidRPr="000D14A6" w:rsidRDefault="002C5BE0" w:rsidP="00995BB0">
            <w:pPr>
              <w:spacing w:before="120" w:after="0" w:line="240" w:lineRule="auto"/>
              <w:ind w:left="426"/>
              <w:jc w:val="both"/>
              <w:rPr>
                <w:rFonts w:ascii="inherit" w:eastAsia="Times New Roman" w:hAnsi="inherit" w:cs="Times New Roman"/>
                <w:i/>
                <w:color w:val="000000"/>
                <w:sz w:val="24"/>
                <w:szCs w:val="24"/>
                <w:lang w:eastAsia="hu-HU"/>
              </w:rPr>
            </w:pPr>
            <w:r w:rsidRPr="000D14A6">
              <w:rPr>
                <w:rFonts w:ascii="inherit" w:eastAsia="Times New Roman" w:hAnsi="inherit" w:cs="Times New Roman"/>
                <w:i/>
                <w:color w:val="000000"/>
                <w:sz w:val="24"/>
                <w:szCs w:val="24"/>
                <w:lang w:eastAsia="hu-HU"/>
              </w:rPr>
              <w:t>h)</w:t>
            </w:r>
          </w:p>
        </w:tc>
        <w:tc>
          <w:tcPr>
            <w:tcW w:w="0" w:type="auto"/>
            <w:shd w:val="clear" w:color="auto" w:fill="FFFFFF"/>
            <w:hideMark/>
          </w:tcPr>
          <w:p w14:paraId="2EBCB0BD" w14:textId="77777777" w:rsidR="002C5BE0" w:rsidRPr="000D14A6" w:rsidRDefault="002C5BE0" w:rsidP="00995BB0">
            <w:pPr>
              <w:spacing w:before="120" w:after="0" w:line="240" w:lineRule="auto"/>
              <w:ind w:left="426"/>
              <w:jc w:val="both"/>
              <w:rPr>
                <w:rFonts w:ascii="inherit" w:eastAsia="Times New Roman" w:hAnsi="inherit" w:cs="Times New Roman"/>
                <w:i/>
                <w:color w:val="000000"/>
                <w:sz w:val="24"/>
                <w:szCs w:val="24"/>
                <w:lang w:eastAsia="hu-HU"/>
              </w:rPr>
            </w:pPr>
            <w:r w:rsidRPr="000D14A6">
              <w:rPr>
                <w:rFonts w:ascii="inherit" w:eastAsia="Times New Roman" w:hAnsi="inherit" w:cs="Times New Roman"/>
                <w:i/>
                <w:color w:val="000000"/>
                <w:sz w:val="24"/>
                <w:szCs w:val="24"/>
                <w:lang w:eastAsia="hu-HU"/>
              </w:rPr>
              <w:t xml:space="preserve">az adatkezelő rendelkezésére bocsát minden olyan információt, amely az e cikkben meghatározott kötelezettségek teljesítésének igazolásához szükséges, továbbá amely </w:t>
            </w:r>
            <w:r w:rsidRPr="000D14A6">
              <w:rPr>
                <w:rFonts w:ascii="inherit" w:eastAsia="Times New Roman" w:hAnsi="inherit" w:cs="Times New Roman"/>
                <w:b/>
                <w:i/>
                <w:color w:val="000000"/>
                <w:sz w:val="24"/>
                <w:szCs w:val="24"/>
                <w:lang w:eastAsia="hu-HU"/>
              </w:rPr>
              <w:t>lehetővé teszi és elősegíti az adatkezelő által vagy az általa megbízott más ellenőr által végzett auditokat, beleértve a helyszíni vizsgálatokat is</w:t>
            </w:r>
            <w:r w:rsidRPr="000D14A6">
              <w:rPr>
                <w:rFonts w:ascii="inherit" w:eastAsia="Times New Roman" w:hAnsi="inherit" w:cs="Times New Roman"/>
                <w:i/>
                <w:color w:val="000000"/>
                <w:sz w:val="24"/>
                <w:szCs w:val="24"/>
                <w:lang w:eastAsia="hu-HU"/>
              </w:rPr>
              <w:t>.</w:t>
            </w:r>
          </w:p>
        </w:tc>
      </w:tr>
    </w:tbl>
    <w:p w14:paraId="6246739D" w14:textId="77777777" w:rsidR="002C5BE0" w:rsidRDefault="002C5BE0" w:rsidP="002C5BE0">
      <w:pPr>
        <w:spacing w:after="0" w:line="240" w:lineRule="auto"/>
        <w:jc w:val="both"/>
        <w:rPr>
          <w:rFonts w:ascii="Times New Roman" w:hAnsi="Times New Roman" w:cs="Times New Roman"/>
          <w:i/>
          <w:sz w:val="24"/>
          <w:szCs w:val="24"/>
        </w:rPr>
      </w:pPr>
    </w:p>
    <w:p w14:paraId="43CE44B9" w14:textId="77777777" w:rsidR="002C5BE0" w:rsidRPr="00A05DE4" w:rsidRDefault="002C5BE0" w:rsidP="002C5BE0">
      <w:pPr>
        <w:shd w:val="clear" w:color="auto" w:fill="FFFFFF"/>
        <w:spacing w:before="120"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GDPR 37. cikk </w:t>
      </w:r>
      <w:r w:rsidRPr="000D14A6">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1</w:t>
      </w:r>
      <w:r w:rsidRPr="000D14A6">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 xml:space="preserve"> bekezdése szerint:</w:t>
      </w:r>
    </w:p>
    <w:p w14:paraId="5B2F3C41" w14:textId="77777777" w:rsidR="002C5BE0" w:rsidRPr="00A05DE4" w:rsidRDefault="002C5BE0" w:rsidP="002C5BE0">
      <w:pPr>
        <w:spacing w:after="0" w:line="240" w:lineRule="auto"/>
        <w:ind w:left="567"/>
        <w:jc w:val="both"/>
        <w:rPr>
          <w:rFonts w:ascii="Times New Roman" w:hAnsi="Times New Roman" w:cs="Times New Roman"/>
          <w:i/>
          <w:sz w:val="24"/>
          <w:szCs w:val="24"/>
        </w:rPr>
      </w:pPr>
      <w:r w:rsidRPr="00A05DE4">
        <w:rPr>
          <w:rFonts w:ascii="Times New Roman" w:hAnsi="Times New Roman" w:cs="Times New Roman"/>
          <w:i/>
          <w:sz w:val="24"/>
          <w:szCs w:val="24"/>
        </w:rPr>
        <w:t xml:space="preserve">Az </w:t>
      </w:r>
      <w:r w:rsidRPr="00A05DE4">
        <w:rPr>
          <w:rFonts w:ascii="Times New Roman" w:hAnsi="Times New Roman" w:cs="Times New Roman"/>
          <w:b/>
          <w:i/>
          <w:sz w:val="24"/>
          <w:szCs w:val="24"/>
        </w:rPr>
        <w:t>adatkezelő</w:t>
      </w:r>
      <w:r w:rsidRPr="00A05DE4">
        <w:rPr>
          <w:rFonts w:ascii="Times New Roman" w:hAnsi="Times New Roman" w:cs="Times New Roman"/>
          <w:i/>
          <w:sz w:val="24"/>
          <w:szCs w:val="24"/>
        </w:rPr>
        <w:t xml:space="preserve"> és az adatfeldolgozó adatvédelmi tisztviselőt </w:t>
      </w:r>
      <w:r w:rsidRPr="00A05DE4">
        <w:rPr>
          <w:rFonts w:ascii="Times New Roman" w:hAnsi="Times New Roman" w:cs="Times New Roman"/>
          <w:b/>
          <w:i/>
          <w:sz w:val="24"/>
          <w:szCs w:val="24"/>
        </w:rPr>
        <w:t>jelöl ki minden olyan esetben</w:t>
      </w:r>
      <w:r w:rsidRPr="00A05DE4">
        <w:rPr>
          <w:rFonts w:ascii="Times New Roman" w:hAnsi="Times New Roman" w:cs="Times New Roman"/>
          <w:i/>
          <w:sz w:val="24"/>
          <w:szCs w:val="24"/>
        </w:rPr>
        <w:t>, amikor:</w:t>
      </w:r>
    </w:p>
    <w:tbl>
      <w:tblPr>
        <w:tblW w:w="5000" w:type="pct"/>
        <w:shd w:val="clear" w:color="auto" w:fill="FFFFFF"/>
        <w:tblCellMar>
          <w:left w:w="0" w:type="dxa"/>
          <w:right w:w="0" w:type="dxa"/>
        </w:tblCellMar>
        <w:tblLook w:val="04A0" w:firstRow="1" w:lastRow="0" w:firstColumn="1" w:lastColumn="0" w:noHBand="0" w:noVBand="1"/>
      </w:tblPr>
      <w:tblGrid>
        <w:gridCol w:w="767"/>
        <w:gridCol w:w="8305"/>
      </w:tblGrid>
      <w:tr w:rsidR="002C5BE0" w:rsidRPr="00A05DE4" w14:paraId="5191E1A3" w14:textId="77777777" w:rsidTr="00995BB0">
        <w:tc>
          <w:tcPr>
            <w:tcW w:w="0" w:type="auto"/>
            <w:shd w:val="clear" w:color="auto" w:fill="FFFFFF"/>
            <w:hideMark/>
          </w:tcPr>
          <w:p w14:paraId="3E277BA8" w14:textId="77777777" w:rsidR="002C5BE0" w:rsidRPr="00A05DE4" w:rsidRDefault="002C5BE0" w:rsidP="00995BB0">
            <w:pPr>
              <w:spacing w:after="0" w:line="240" w:lineRule="auto"/>
              <w:ind w:left="567"/>
              <w:jc w:val="both"/>
              <w:rPr>
                <w:rFonts w:ascii="Times New Roman" w:hAnsi="Times New Roman" w:cs="Times New Roman"/>
                <w:i/>
                <w:sz w:val="24"/>
                <w:szCs w:val="24"/>
              </w:rPr>
            </w:pPr>
            <w:r w:rsidRPr="00A05DE4">
              <w:rPr>
                <w:rFonts w:ascii="Times New Roman" w:hAnsi="Times New Roman" w:cs="Times New Roman"/>
                <w:i/>
                <w:sz w:val="24"/>
                <w:szCs w:val="24"/>
              </w:rPr>
              <w:t>a)</w:t>
            </w:r>
          </w:p>
        </w:tc>
        <w:tc>
          <w:tcPr>
            <w:tcW w:w="0" w:type="auto"/>
            <w:shd w:val="clear" w:color="auto" w:fill="FFFFFF"/>
            <w:hideMark/>
          </w:tcPr>
          <w:p w14:paraId="0BBFA10B" w14:textId="77777777" w:rsidR="002C5BE0" w:rsidRPr="00A05DE4" w:rsidRDefault="002C5BE0" w:rsidP="00995BB0">
            <w:pPr>
              <w:spacing w:after="0" w:line="240" w:lineRule="auto"/>
              <w:ind w:left="567"/>
              <w:jc w:val="both"/>
              <w:rPr>
                <w:rFonts w:ascii="Times New Roman" w:hAnsi="Times New Roman" w:cs="Times New Roman"/>
                <w:i/>
                <w:sz w:val="24"/>
                <w:szCs w:val="24"/>
              </w:rPr>
            </w:pPr>
            <w:r w:rsidRPr="00A05DE4">
              <w:rPr>
                <w:rFonts w:ascii="Times New Roman" w:hAnsi="Times New Roman" w:cs="Times New Roman"/>
                <w:i/>
                <w:sz w:val="24"/>
                <w:szCs w:val="24"/>
              </w:rPr>
              <w:t xml:space="preserve">az adatkezelést közhatalmi szervek vagy egyéb, </w:t>
            </w:r>
            <w:r w:rsidRPr="00A05DE4">
              <w:rPr>
                <w:rFonts w:ascii="Times New Roman" w:hAnsi="Times New Roman" w:cs="Times New Roman"/>
                <w:b/>
                <w:i/>
                <w:sz w:val="24"/>
                <w:szCs w:val="24"/>
              </w:rPr>
              <w:t>közfeladatot ellátó</w:t>
            </w:r>
            <w:r w:rsidRPr="00A05DE4">
              <w:rPr>
                <w:rFonts w:ascii="Times New Roman" w:hAnsi="Times New Roman" w:cs="Times New Roman"/>
                <w:i/>
                <w:sz w:val="24"/>
                <w:szCs w:val="24"/>
              </w:rPr>
              <w:t xml:space="preserve"> szervek végzik, kivéve az igazságszolgáltatási feladatkörükben eljáró bíróságokat;</w:t>
            </w:r>
          </w:p>
        </w:tc>
      </w:tr>
    </w:tbl>
    <w:p w14:paraId="6489FE5B" w14:textId="77777777" w:rsidR="002C5BE0" w:rsidRPr="00A05DE4" w:rsidRDefault="002C5BE0" w:rsidP="002C5BE0">
      <w:pPr>
        <w:spacing w:after="0" w:line="240" w:lineRule="auto"/>
        <w:ind w:left="567"/>
        <w:jc w:val="both"/>
        <w:rPr>
          <w:rFonts w:ascii="Times New Roman" w:hAnsi="Times New Roman" w:cs="Times New Roman"/>
          <w:i/>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767"/>
        <w:gridCol w:w="8305"/>
      </w:tblGrid>
      <w:tr w:rsidR="002C5BE0" w:rsidRPr="00A05DE4" w14:paraId="24EC7077" w14:textId="77777777" w:rsidTr="00995BB0">
        <w:tc>
          <w:tcPr>
            <w:tcW w:w="0" w:type="auto"/>
            <w:shd w:val="clear" w:color="auto" w:fill="FFFFFF"/>
            <w:hideMark/>
          </w:tcPr>
          <w:p w14:paraId="1CEFE897" w14:textId="77777777" w:rsidR="002C5BE0" w:rsidRPr="00A05DE4" w:rsidRDefault="002C5BE0" w:rsidP="00995BB0">
            <w:pPr>
              <w:spacing w:after="0" w:line="240" w:lineRule="auto"/>
              <w:ind w:left="567"/>
              <w:jc w:val="both"/>
              <w:rPr>
                <w:rFonts w:ascii="Times New Roman" w:hAnsi="Times New Roman" w:cs="Times New Roman"/>
                <w:i/>
                <w:sz w:val="24"/>
                <w:szCs w:val="24"/>
              </w:rPr>
            </w:pPr>
            <w:r w:rsidRPr="00A05DE4">
              <w:rPr>
                <w:rFonts w:ascii="Times New Roman" w:hAnsi="Times New Roman" w:cs="Times New Roman"/>
                <w:i/>
                <w:sz w:val="24"/>
                <w:szCs w:val="24"/>
              </w:rPr>
              <w:t>b)</w:t>
            </w:r>
          </w:p>
        </w:tc>
        <w:tc>
          <w:tcPr>
            <w:tcW w:w="0" w:type="auto"/>
            <w:shd w:val="clear" w:color="auto" w:fill="FFFFFF"/>
            <w:hideMark/>
          </w:tcPr>
          <w:p w14:paraId="3ABAA22D" w14:textId="77777777" w:rsidR="002C5BE0" w:rsidRPr="00A05DE4" w:rsidRDefault="002C5BE0" w:rsidP="00995BB0">
            <w:pPr>
              <w:spacing w:after="0" w:line="240" w:lineRule="auto"/>
              <w:ind w:left="567"/>
              <w:jc w:val="both"/>
              <w:rPr>
                <w:rFonts w:ascii="Times New Roman" w:hAnsi="Times New Roman" w:cs="Times New Roman"/>
                <w:i/>
                <w:sz w:val="24"/>
                <w:szCs w:val="24"/>
              </w:rPr>
            </w:pPr>
            <w:r w:rsidRPr="00A05DE4">
              <w:rPr>
                <w:rFonts w:ascii="Times New Roman" w:hAnsi="Times New Roman" w:cs="Times New Roman"/>
                <w:i/>
                <w:sz w:val="24"/>
                <w:szCs w:val="24"/>
              </w:rPr>
              <w:t xml:space="preserve">az adatkezelő vagy az adatfeldolgozó fő tevékenységei olyan adatkezelési műveleteket foglalnak magukban, amelyek jellegüknél, hatókörüknél és/vagy céljaiknál fogva az érintettek rendszeres és szisztematikus, </w:t>
            </w:r>
            <w:r w:rsidRPr="00A05DE4">
              <w:rPr>
                <w:rFonts w:ascii="Times New Roman" w:hAnsi="Times New Roman" w:cs="Times New Roman"/>
                <w:b/>
                <w:i/>
                <w:sz w:val="24"/>
                <w:szCs w:val="24"/>
              </w:rPr>
              <w:t>nagymértékű</w:t>
            </w:r>
            <w:r w:rsidRPr="00A05DE4">
              <w:rPr>
                <w:rFonts w:ascii="Times New Roman" w:hAnsi="Times New Roman" w:cs="Times New Roman"/>
                <w:i/>
                <w:sz w:val="24"/>
                <w:szCs w:val="24"/>
              </w:rPr>
              <w:t xml:space="preserve"> megfigyelését teszik szükségessé;</w:t>
            </w:r>
          </w:p>
        </w:tc>
      </w:tr>
    </w:tbl>
    <w:p w14:paraId="1DA35016" w14:textId="77777777" w:rsidR="002C5BE0" w:rsidRPr="00A05DE4" w:rsidRDefault="002C5BE0" w:rsidP="002C5BE0">
      <w:pPr>
        <w:spacing w:after="0" w:line="240" w:lineRule="auto"/>
        <w:ind w:left="567"/>
        <w:jc w:val="both"/>
        <w:rPr>
          <w:rFonts w:ascii="Times New Roman" w:hAnsi="Times New Roman" w:cs="Times New Roman"/>
          <w:i/>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754"/>
        <w:gridCol w:w="8318"/>
      </w:tblGrid>
      <w:tr w:rsidR="002C5BE0" w:rsidRPr="00A05DE4" w14:paraId="2CDB7E66" w14:textId="77777777" w:rsidTr="00995BB0">
        <w:tc>
          <w:tcPr>
            <w:tcW w:w="0" w:type="auto"/>
            <w:shd w:val="clear" w:color="auto" w:fill="FFFFFF"/>
            <w:hideMark/>
          </w:tcPr>
          <w:p w14:paraId="1D442114" w14:textId="77777777" w:rsidR="002C5BE0" w:rsidRPr="00A05DE4" w:rsidRDefault="002C5BE0" w:rsidP="00995BB0">
            <w:pPr>
              <w:spacing w:after="0" w:line="240" w:lineRule="auto"/>
              <w:ind w:left="567"/>
              <w:jc w:val="both"/>
              <w:rPr>
                <w:rFonts w:ascii="Times New Roman" w:hAnsi="Times New Roman" w:cs="Times New Roman"/>
                <w:i/>
                <w:sz w:val="24"/>
                <w:szCs w:val="24"/>
              </w:rPr>
            </w:pPr>
            <w:r w:rsidRPr="00A05DE4">
              <w:rPr>
                <w:rFonts w:ascii="Times New Roman" w:hAnsi="Times New Roman" w:cs="Times New Roman"/>
                <w:i/>
                <w:sz w:val="24"/>
                <w:szCs w:val="24"/>
              </w:rPr>
              <w:lastRenderedPageBreak/>
              <w:t>c)</w:t>
            </w:r>
          </w:p>
        </w:tc>
        <w:tc>
          <w:tcPr>
            <w:tcW w:w="0" w:type="auto"/>
            <w:shd w:val="clear" w:color="auto" w:fill="FFFFFF"/>
            <w:hideMark/>
          </w:tcPr>
          <w:p w14:paraId="59B5C1DF" w14:textId="77777777" w:rsidR="002C5BE0" w:rsidRPr="00A05DE4" w:rsidRDefault="002C5BE0" w:rsidP="00995BB0">
            <w:pPr>
              <w:spacing w:after="0" w:line="240" w:lineRule="auto"/>
              <w:ind w:left="567"/>
              <w:jc w:val="both"/>
              <w:rPr>
                <w:rFonts w:ascii="Times New Roman" w:hAnsi="Times New Roman" w:cs="Times New Roman"/>
                <w:i/>
                <w:sz w:val="24"/>
                <w:szCs w:val="24"/>
              </w:rPr>
            </w:pPr>
            <w:r w:rsidRPr="00A05DE4">
              <w:rPr>
                <w:rFonts w:ascii="Times New Roman" w:hAnsi="Times New Roman" w:cs="Times New Roman"/>
                <w:i/>
                <w:sz w:val="24"/>
                <w:szCs w:val="24"/>
              </w:rPr>
              <w:t xml:space="preserve">az adatkezelő vagy az adatfeldolgozó fő tevékenységei a személyes adatok 9. cikk szerinti különleges kategóriáinak és a 10. cikkben említett, büntetőjogi felelősség megállapítására vonatkozó határozatokra és bűncselekményekre vonatkozó adatok </w:t>
            </w:r>
            <w:r w:rsidRPr="00A05DE4">
              <w:rPr>
                <w:rFonts w:ascii="Times New Roman" w:hAnsi="Times New Roman" w:cs="Times New Roman"/>
                <w:b/>
                <w:i/>
                <w:sz w:val="24"/>
                <w:szCs w:val="24"/>
              </w:rPr>
              <w:t>nagy számban</w:t>
            </w:r>
            <w:r w:rsidRPr="00A05DE4">
              <w:rPr>
                <w:rFonts w:ascii="Times New Roman" w:hAnsi="Times New Roman" w:cs="Times New Roman"/>
                <w:i/>
                <w:sz w:val="24"/>
                <w:szCs w:val="24"/>
              </w:rPr>
              <w:t xml:space="preserve"> történő kezelését foglalják magukban.</w:t>
            </w:r>
          </w:p>
        </w:tc>
      </w:tr>
    </w:tbl>
    <w:p w14:paraId="7B8CE897" w14:textId="77777777" w:rsidR="002C5BE0" w:rsidRDefault="002C5BE0" w:rsidP="002C5BE0">
      <w:pPr>
        <w:spacing w:after="0" w:line="240" w:lineRule="auto"/>
        <w:jc w:val="both"/>
        <w:rPr>
          <w:rFonts w:ascii="Times New Roman" w:hAnsi="Times New Roman" w:cs="Times New Roman"/>
          <w:i/>
          <w:sz w:val="24"/>
          <w:szCs w:val="24"/>
        </w:rPr>
      </w:pPr>
    </w:p>
    <w:p w14:paraId="67C3EB61" w14:textId="77777777" w:rsidR="002C5BE0" w:rsidRDefault="002C5BE0" w:rsidP="002C5BE0">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p w14:paraId="6229D243" w14:textId="77777777" w:rsidR="002C5BE0" w:rsidRDefault="002C5BE0" w:rsidP="002C5BE0">
      <w:pPr>
        <w:spacing w:after="0" w:line="240" w:lineRule="auto"/>
        <w:jc w:val="both"/>
        <w:rPr>
          <w:rFonts w:ascii="Times New Roman" w:hAnsi="Times New Roman" w:cs="Times New Roman"/>
          <w:i/>
          <w:sz w:val="24"/>
          <w:szCs w:val="24"/>
        </w:rPr>
      </w:pPr>
    </w:p>
    <w:p w14:paraId="79742F00" w14:textId="77777777" w:rsidR="002C5BE0" w:rsidRDefault="002C5BE0" w:rsidP="002C5BE0">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A Szakmai Bizottsághoz azzal összefüggésben érkezett ügyvédi megkeresés, hogy </w:t>
      </w:r>
    </w:p>
    <w:p w14:paraId="793C0AF5" w14:textId="77777777" w:rsidR="002C5BE0" w:rsidRPr="00A05DE4" w:rsidRDefault="002C5BE0" w:rsidP="002C5BE0">
      <w:pPr>
        <w:pStyle w:val="Listaszerbekezds"/>
        <w:numPr>
          <w:ilvl w:val="0"/>
          <w:numId w:val="1"/>
        </w:numPr>
        <w:spacing w:after="60" w:line="240" w:lineRule="auto"/>
        <w:jc w:val="both"/>
        <w:rPr>
          <w:rFonts w:ascii="Times New Roman" w:hAnsi="Times New Roman" w:cs="Times New Roman"/>
          <w:sz w:val="24"/>
          <w:szCs w:val="24"/>
        </w:rPr>
      </w:pPr>
      <w:r w:rsidRPr="00A05DE4">
        <w:rPr>
          <w:rFonts w:ascii="Times New Roman" w:hAnsi="Times New Roman" w:cs="Times New Roman"/>
          <w:sz w:val="24"/>
          <w:szCs w:val="24"/>
        </w:rPr>
        <w:t xml:space="preserve">megbízója (nem ritkán a Bankszövetség elvárására hivatkozással) az Általános Adatvédelmi Rendeletre való utalással az ügyvédi megbízás feltételeként adatfeldolgozói szerződés megkötését kéri </w:t>
      </w:r>
      <w:r>
        <w:rPr>
          <w:rFonts w:ascii="Times New Roman" w:hAnsi="Times New Roman" w:cs="Times New Roman"/>
          <w:sz w:val="24"/>
          <w:szCs w:val="24"/>
        </w:rPr>
        <w:t>tőle</w:t>
      </w:r>
      <w:r w:rsidRPr="00A05DE4">
        <w:rPr>
          <w:rFonts w:ascii="Times New Roman" w:hAnsi="Times New Roman" w:cs="Times New Roman"/>
          <w:sz w:val="24"/>
          <w:szCs w:val="24"/>
        </w:rPr>
        <w:t xml:space="preserve">, </w:t>
      </w:r>
    </w:p>
    <w:p w14:paraId="0F7D51DE" w14:textId="77777777" w:rsidR="002C5BE0" w:rsidRDefault="002C5BE0" w:rsidP="002C5BE0">
      <w:pPr>
        <w:pStyle w:val="Listaszerbekezds"/>
        <w:numPr>
          <w:ilvl w:val="0"/>
          <w:numId w:val="1"/>
        </w:num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másrészt, hogy tudomása szerint hasonló hivatkozással egyes esetekben az ügyvédek kérik az ügyféltől, tehát a saját megbízótól az adatfeldolgozói szerződés megkötését, </w:t>
      </w:r>
    </w:p>
    <w:p w14:paraId="55BA64AC" w14:textId="77777777" w:rsidR="002C5BE0" w:rsidRPr="00A05DE4" w:rsidRDefault="002C5BE0" w:rsidP="002C5BE0">
      <w:pPr>
        <w:spacing w:after="60" w:line="240" w:lineRule="auto"/>
        <w:jc w:val="both"/>
        <w:rPr>
          <w:rFonts w:ascii="Times New Roman" w:hAnsi="Times New Roman" w:cs="Times New Roman"/>
          <w:sz w:val="24"/>
          <w:szCs w:val="24"/>
        </w:rPr>
      </w:pPr>
      <w:r w:rsidRPr="00A05DE4">
        <w:rPr>
          <w:rFonts w:ascii="Times New Roman" w:hAnsi="Times New Roman" w:cs="Times New Roman"/>
          <w:sz w:val="24"/>
          <w:szCs w:val="24"/>
        </w:rPr>
        <w:t xml:space="preserve">és </w:t>
      </w:r>
      <w:r>
        <w:rPr>
          <w:rFonts w:ascii="Times New Roman" w:hAnsi="Times New Roman" w:cs="Times New Roman"/>
          <w:sz w:val="24"/>
          <w:szCs w:val="24"/>
        </w:rPr>
        <w:t>javasolta</w:t>
      </w:r>
      <w:r w:rsidRPr="00A05DE4">
        <w:rPr>
          <w:rFonts w:ascii="Times New Roman" w:hAnsi="Times New Roman" w:cs="Times New Roman"/>
          <w:sz w:val="24"/>
          <w:szCs w:val="24"/>
        </w:rPr>
        <w:t>, hogy a Szakmai Bizottság tegyen ebben az ügyben előterjesztést Szakmai Álláspont elfogadására a MÜK Elnöksége részére</w:t>
      </w:r>
      <w:r>
        <w:rPr>
          <w:rFonts w:ascii="Times New Roman" w:hAnsi="Times New Roman" w:cs="Times New Roman"/>
          <w:sz w:val="24"/>
          <w:szCs w:val="24"/>
        </w:rPr>
        <w:t>.</w:t>
      </w:r>
    </w:p>
    <w:p w14:paraId="6AB50F12" w14:textId="77777777" w:rsidR="002C5BE0" w:rsidRDefault="002C5BE0" w:rsidP="002C5BE0">
      <w:pPr>
        <w:spacing w:after="60" w:line="240" w:lineRule="auto"/>
        <w:jc w:val="both"/>
        <w:rPr>
          <w:rFonts w:ascii="Times New Roman" w:hAnsi="Times New Roman" w:cs="Times New Roman"/>
          <w:sz w:val="24"/>
          <w:szCs w:val="24"/>
        </w:rPr>
      </w:pPr>
    </w:p>
    <w:p w14:paraId="3F1017A8" w14:textId="77777777" w:rsidR="002C5BE0" w:rsidRPr="008026F2" w:rsidRDefault="002C5BE0" w:rsidP="002C5BE0">
      <w:pPr>
        <w:spacing w:after="60" w:line="240" w:lineRule="auto"/>
        <w:jc w:val="both"/>
        <w:rPr>
          <w:rFonts w:ascii="Times New Roman" w:hAnsi="Times New Roman" w:cs="Times New Roman"/>
          <w:bCs/>
          <w:iCs/>
          <w:sz w:val="24"/>
          <w:szCs w:val="24"/>
        </w:rPr>
      </w:pPr>
      <w:r>
        <w:rPr>
          <w:rFonts w:ascii="Times New Roman" w:hAnsi="Times New Roman" w:cs="Times New Roman"/>
          <w:sz w:val="24"/>
          <w:szCs w:val="24"/>
        </w:rPr>
        <w:t>A Magyar Ügyvédi Kamara Alapszabályának VII.25. értelmében a MÜK Szakmai Bizottsága feladata, hogy „</w:t>
      </w:r>
      <w:r w:rsidRPr="008026F2">
        <w:rPr>
          <w:rFonts w:ascii="Times New Roman" w:hAnsi="Times New Roman" w:cs="Times New Roman"/>
          <w:bCs/>
          <w:i/>
          <w:iCs/>
          <w:sz w:val="24"/>
          <w:szCs w:val="24"/>
        </w:rPr>
        <w:t>az ügyvédi tevékenység gyakorlása során visszatérően előforduló, válaszokat igénylő helyzetekben követendő eljárásra általában irányadó, de normatívának nem minősülő, a Magyar Ügyvédi Kamara Elnöksége által elfogadásra kerülő szakmai álláspont megfogalmazásához tervezeteket készítsen.</w:t>
      </w:r>
      <w:r>
        <w:rPr>
          <w:rFonts w:ascii="Times New Roman" w:hAnsi="Times New Roman" w:cs="Times New Roman"/>
          <w:bCs/>
          <w:iCs/>
          <w:sz w:val="24"/>
          <w:szCs w:val="24"/>
        </w:rPr>
        <w:t>”</w:t>
      </w:r>
    </w:p>
    <w:p w14:paraId="67685402" w14:textId="77777777" w:rsidR="002C5BE0" w:rsidRDefault="002C5BE0" w:rsidP="002C5BE0">
      <w:pPr>
        <w:spacing w:after="60" w:line="240" w:lineRule="auto"/>
        <w:rPr>
          <w:rFonts w:ascii="Times New Roman" w:hAnsi="Times New Roman" w:cs="Times New Roman"/>
          <w:sz w:val="24"/>
          <w:szCs w:val="24"/>
        </w:rPr>
      </w:pPr>
    </w:p>
    <w:p w14:paraId="286BB19C" w14:textId="77777777" w:rsidR="002C5BE0" w:rsidRPr="008026F2" w:rsidRDefault="002C5BE0" w:rsidP="002C5BE0">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A Szakmai Bizottság ügyrendjének 5. pontja értelmében a Szakmai Bizottság elnöke „</w:t>
      </w:r>
      <w:r w:rsidRPr="008026F2">
        <w:rPr>
          <w:rFonts w:ascii="Times New Roman" w:hAnsi="Times New Roman" w:cs="Times New Roman"/>
          <w:i/>
          <w:sz w:val="24"/>
          <w:szCs w:val="24"/>
        </w:rPr>
        <w:t>az állandó tagokon kívül szakterületi jártasságára tekintettel a munkabizottságban történő közreműködésre bármely ügyvédet felkérhet.</w:t>
      </w:r>
      <w:r>
        <w:rPr>
          <w:rFonts w:ascii="Times New Roman" w:hAnsi="Times New Roman" w:cs="Times New Roman"/>
          <w:sz w:val="24"/>
          <w:szCs w:val="24"/>
        </w:rPr>
        <w:t>”</w:t>
      </w:r>
    </w:p>
    <w:p w14:paraId="46898231" w14:textId="77777777" w:rsidR="002C5BE0" w:rsidRDefault="002C5BE0" w:rsidP="002C5BE0">
      <w:pPr>
        <w:spacing w:after="60" w:line="240" w:lineRule="auto"/>
        <w:jc w:val="both"/>
        <w:rPr>
          <w:rFonts w:ascii="Times New Roman" w:hAnsi="Times New Roman" w:cs="Times New Roman"/>
          <w:sz w:val="24"/>
          <w:szCs w:val="24"/>
        </w:rPr>
      </w:pPr>
    </w:p>
    <w:p w14:paraId="24546772" w14:textId="77777777" w:rsidR="002C5BE0" w:rsidRDefault="002C5BE0" w:rsidP="002C5BE0">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Fentiekre tekintettel 2019. február 8-án a Bizottság elnöke a Szakmai Bizottság tagjai, és az általa felkért specialisták részére megküldte előzetes állásfoglalását, és kérte az arra vonatkozó szakmai vélemények közlését 2019. március 25-i határidővel.</w:t>
      </w:r>
    </w:p>
    <w:p w14:paraId="55114B7E" w14:textId="77777777" w:rsidR="002C5BE0" w:rsidRDefault="002C5BE0" w:rsidP="002C5BE0">
      <w:pPr>
        <w:spacing w:after="60" w:line="240" w:lineRule="auto"/>
        <w:jc w:val="both"/>
        <w:rPr>
          <w:rFonts w:ascii="Times New Roman" w:hAnsi="Times New Roman" w:cs="Times New Roman"/>
          <w:sz w:val="24"/>
          <w:szCs w:val="24"/>
        </w:rPr>
      </w:pPr>
    </w:p>
    <w:p w14:paraId="1389FAC4" w14:textId="77777777" w:rsidR="002C5BE0" w:rsidRDefault="002C5BE0" w:rsidP="002C5BE0">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Az érdemi indokolás előtt érdemes tárgyra nézve néhány alapvetést leszögezni.</w:t>
      </w:r>
    </w:p>
    <w:p w14:paraId="2F65EA73" w14:textId="77777777" w:rsidR="002C5BE0" w:rsidRDefault="002C5BE0" w:rsidP="002C5BE0">
      <w:pPr>
        <w:spacing w:after="60" w:line="240" w:lineRule="auto"/>
        <w:jc w:val="both"/>
        <w:rPr>
          <w:rFonts w:ascii="Times New Roman" w:hAnsi="Times New Roman" w:cs="Times New Roman"/>
          <w:sz w:val="24"/>
          <w:szCs w:val="24"/>
        </w:rPr>
      </w:pPr>
    </w:p>
    <w:p w14:paraId="73E00EEC" w14:textId="77777777" w:rsidR="002C5BE0" w:rsidRDefault="002C5BE0" w:rsidP="002C5BE0">
      <w:pPr>
        <w:spacing w:after="0" w:line="240" w:lineRule="auto"/>
        <w:jc w:val="both"/>
        <w:rPr>
          <w:rFonts w:ascii="Times New Roman" w:hAnsi="Times New Roman"/>
          <w:sz w:val="24"/>
          <w:szCs w:val="24"/>
        </w:rPr>
      </w:pPr>
      <w:r>
        <w:rPr>
          <w:rFonts w:ascii="Times New Roman" w:hAnsi="Times New Roman"/>
          <w:sz w:val="24"/>
          <w:szCs w:val="24"/>
        </w:rPr>
        <w:t>1.</w:t>
      </w:r>
    </w:p>
    <w:p w14:paraId="75A96912" w14:textId="77777777" w:rsidR="002C5BE0" w:rsidRDefault="002C5BE0" w:rsidP="002C5BE0">
      <w:pPr>
        <w:spacing w:after="0" w:line="240" w:lineRule="auto"/>
        <w:jc w:val="both"/>
        <w:rPr>
          <w:rFonts w:ascii="Times New Roman" w:hAnsi="Times New Roman"/>
          <w:sz w:val="24"/>
          <w:szCs w:val="24"/>
        </w:rPr>
      </w:pPr>
      <w:r>
        <w:rPr>
          <w:rFonts w:ascii="Times New Roman" w:hAnsi="Times New Roman"/>
          <w:sz w:val="24"/>
          <w:szCs w:val="24"/>
        </w:rPr>
        <w:t xml:space="preserve">Amennyiben valamely (jogi vagy természetes) személy a tevékenységéhez kapcsolódóan tervezetten személyes adatokat kezel, akkor a GDPR alapján három minőség egyikébe bele fog tartozni: </w:t>
      </w:r>
    </w:p>
    <w:p w14:paraId="7F30C2C2" w14:textId="77777777" w:rsidR="002C5BE0" w:rsidRDefault="002C5BE0" w:rsidP="002C5BE0">
      <w:pPr>
        <w:pStyle w:val="Listaszerbekezds"/>
        <w:numPr>
          <w:ilvl w:val="0"/>
          <w:numId w:val="1"/>
        </w:numPr>
        <w:spacing w:after="0" w:line="240" w:lineRule="auto"/>
        <w:jc w:val="both"/>
        <w:rPr>
          <w:rFonts w:ascii="Times New Roman" w:hAnsi="Times New Roman"/>
          <w:sz w:val="24"/>
          <w:szCs w:val="24"/>
        </w:rPr>
      </w:pPr>
      <w:r w:rsidRPr="003C2658">
        <w:rPr>
          <w:rFonts w:ascii="Times New Roman" w:hAnsi="Times New Roman"/>
          <w:sz w:val="24"/>
          <w:szCs w:val="24"/>
        </w:rPr>
        <w:t xml:space="preserve">vagy adatkezelő, </w:t>
      </w:r>
    </w:p>
    <w:p w14:paraId="0CAC89FC" w14:textId="77777777" w:rsidR="002C5BE0" w:rsidRDefault="002C5BE0" w:rsidP="002C5BE0">
      <w:pPr>
        <w:pStyle w:val="Listaszerbekezds"/>
        <w:numPr>
          <w:ilvl w:val="0"/>
          <w:numId w:val="1"/>
        </w:numPr>
        <w:spacing w:after="0" w:line="240" w:lineRule="auto"/>
        <w:jc w:val="both"/>
        <w:rPr>
          <w:rFonts w:ascii="Times New Roman" w:hAnsi="Times New Roman"/>
          <w:sz w:val="24"/>
          <w:szCs w:val="24"/>
        </w:rPr>
      </w:pPr>
      <w:r w:rsidRPr="003C2658">
        <w:rPr>
          <w:rFonts w:ascii="Times New Roman" w:hAnsi="Times New Roman"/>
          <w:sz w:val="24"/>
          <w:szCs w:val="24"/>
        </w:rPr>
        <w:t>vagy adatfeldolgozó</w:t>
      </w:r>
      <w:r>
        <w:rPr>
          <w:rFonts w:ascii="Times New Roman" w:hAnsi="Times New Roman"/>
          <w:sz w:val="24"/>
          <w:szCs w:val="24"/>
        </w:rPr>
        <w:t>,</w:t>
      </w:r>
      <w:r w:rsidRPr="003C2658">
        <w:rPr>
          <w:rFonts w:ascii="Times New Roman" w:hAnsi="Times New Roman"/>
          <w:sz w:val="24"/>
          <w:szCs w:val="24"/>
        </w:rPr>
        <w:t xml:space="preserve"> </w:t>
      </w:r>
    </w:p>
    <w:p w14:paraId="5236459D" w14:textId="77777777" w:rsidR="002C5BE0" w:rsidRDefault="002C5BE0" w:rsidP="002C5BE0">
      <w:pPr>
        <w:pStyle w:val="Listaszerbekezds"/>
        <w:numPr>
          <w:ilvl w:val="0"/>
          <w:numId w:val="1"/>
        </w:numPr>
        <w:spacing w:after="0" w:line="240" w:lineRule="auto"/>
        <w:jc w:val="both"/>
        <w:rPr>
          <w:rFonts w:ascii="Times New Roman" w:hAnsi="Times New Roman"/>
          <w:sz w:val="24"/>
          <w:szCs w:val="24"/>
        </w:rPr>
      </w:pPr>
      <w:r w:rsidRPr="003C2658">
        <w:rPr>
          <w:rFonts w:ascii="Times New Roman" w:hAnsi="Times New Roman"/>
          <w:sz w:val="24"/>
          <w:szCs w:val="24"/>
        </w:rPr>
        <w:t xml:space="preserve">vagy valamely más adatkezelővel együtt közös adatkezelő. </w:t>
      </w:r>
    </w:p>
    <w:p w14:paraId="0719734D" w14:textId="77777777" w:rsidR="002C5BE0" w:rsidRPr="00343DE9" w:rsidRDefault="002C5BE0" w:rsidP="002C5BE0">
      <w:pPr>
        <w:spacing w:after="0" w:line="240" w:lineRule="auto"/>
        <w:jc w:val="both"/>
        <w:rPr>
          <w:rFonts w:ascii="Times New Roman" w:hAnsi="Times New Roman"/>
          <w:sz w:val="24"/>
          <w:szCs w:val="24"/>
        </w:rPr>
      </w:pPr>
      <w:r w:rsidRPr="003C2658">
        <w:rPr>
          <w:rFonts w:ascii="Times New Roman" w:hAnsi="Times New Roman"/>
          <w:sz w:val="24"/>
          <w:szCs w:val="24"/>
        </w:rPr>
        <w:t>A GDPR rendelkezései alapján nem képzelhető el olyan esetkör, amikor valamely</w:t>
      </w:r>
      <w:r>
        <w:rPr>
          <w:rFonts w:ascii="Times New Roman" w:hAnsi="Times New Roman"/>
          <w:sz w:val="24"/>
          <w:szCs w:val="24"/>
        </w:rPr>
        <w:t xml:space="preserve"> személy </w:t>
      </w:r>
      <w:r w:rsidRPr="003C2658">
        <w:rPr>
          <w:rFonts w:ascii="Times New Roman" w:hAnsi="Times New Roman"/>
          <w:sz w:val="24"/>
          <w:szCs w:val="24"/>
        </w:rPr>
        <w:t>a tevékenysége során személyes adatokat kezel, akkor ezen kategóriák egyikébe se</w:t>
      </w:r>
      <w:r w:rsidRPr="00343DE9">
        <w:rPr>
          <w:rFonts w:ascii="Times New Roman" w:hAnsi="Times New Roman"/>
          <w:sz w:val="24"/>
          <w:szCs w:val="24"/>
        </w:rPr>
        <w:t xml:space="preserve"> </w:t>
      </w:r>
      <w:r>
        <w:rPr>
          <w:rFonts w:ascii="Times New Roman" w:hAnsi="Times New Roman"/>
          <w:sz w:val="24"/>
          <w:szCs w:val="24"/>
        </w:rPr>
        <w:t>essen</w:t>
      </w:r>
      <w:r w:rsidRPr="00343DE9">
        <w:rPr>
          <w:rFonts w:ascii="Times New Roman" w:hAnsi="Times New Roman"/>
          <w:sz w:val="24"/>
          <w:szCs w:val="24"/>
        </w:rPr>
        <w:t xml:space="preserve">. </w:t>
      </w:r>
    </w:p>
    <w:p w14:paraId="76690D96" w14:textId="77777777" w:rsidR="002C5BE0" w:rsidRDefault="002C5BE0" w:rsidP="002C5BE0">
      <w:pPr>
        <w:spacing w:after="60" w:line="240" w:lineRule="auto"/>
        <w:jc w:val="both"/>
        <w:rPr>
          <w:rFonts w:ascii="Times New Roman" w:hAnsi="Times New Roman" w:cs="Times New Roman"/>
          <w:sz w:val="24"/>
          <w:szCs w:val="24"/>
        </w:rPr>
      </w:pPr>
    </w:p>
    <w:p w14:paraId="373B31AC" w14:textId="77777777" w:rsidR="002C5BE0" w:rsidRDefault="002C5BE0" w:rsidP="002C5BE0">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2.</w:t>
      </w:r>
    </w:p>
    <w:p w14:paraId="74ED68D3" w14:textId="77777777" w:rsidR="002C5BE0" w:rsidRPr="00343DE9" w:rsidRDefault="002C5BE0" w:rsidP="002C5BE0">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A következő alapvetés, hogy ugyanakkor az előfordulhat, hogy az adott személyre több szerepkör is vonatkozzon, vagyis </w:t>
      </w:r>
      <w:r w:rsidRPr="00343DE9">
        <w:rPr>
          <w:rFonts w:ascii="Times New Roman" w:hAnsi="Times New Roman" w:cs="Times New Roman"/>
          <w:sz w:val="24"/>
          <w:szCs w:val="24"/>
        </w:rPr>
        <w:t>egyszerre legyen adatfeldolgozó</w:t>
      </w:r>
      <w:r>
        <w:rPr>
          <w:rFonts w:ascii="Times New Roman" w:hAnsi="Times New Roman" w:cs="Times New Roman"/>
          <w:sz w:val="24"/>
          <w:szCs w:val="24"/>
        </w:rPr>
        <w:t>, adatkezelő vagy más adatkezelővel közös adatkezelő.</w:t>
      </w:r>
    </w:p>
    <w:p w14:paraId="52DB6295" w14:textId="77777777" w:rsidR="002C5BE0" w:rsidRDefault="002C5BE0" w:rsidP="002C5BE0">
      <w:pPr>
        <w:spacing w:after="60" w:line="240" w:lineRule="auto"/>
        <w:jc w:val="both"/>
        <w:rPr>
          <w:rFonts w:ascii="Times New Roman" w:hAnsi="Times New Roman" w:cs="Times New Roman"/>
          <w:sz w:val="24"/>
          <w:szCs w:val="24"/>
        </w:rPr>
      </w:pPr>
    </w:p>
    <w:p w14:paraId="4561D8C0" w14:textId="77777777" w:rsidR="002C5BE0" w:rsidRDefault="002C5BE0" w:rsidP="002C5BE0">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3.</w:t>
      </w:r>
    </w:p>
    <w:p w14:paraId="55C529CC" w14:textId="77777777" w:rsidR="002C5BE0" w:rsidRDefault="002C5BE0" w:rsidP="002C5BE0">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Alapvetés, hogy saját személyes adatai vonatkozásában senki sem lehet adatkezelő, vagyis aki kapja ezeket az adatokat, az szükségszerűen adatkezelő és nem adatfeldolgozó.</w:t>
      </w:r>
    </w:p>
    <w:p w14:paraId="07E14E1B" w14:textId="77777777" w:rsidR="002C5BE0" w:rsidRDefault="002C5BE0" w:rsidP="002C5BE0">
      <w:pPr>
        <w:spacing w:after="60" w:line="240" w:lineRule="auto"/>
        <w:jc w:val="both"/>
        <w:rPr>
          <w:rFonts w:ascii="Times New Roman" w:hAnsi="Times New Roman" w:cs="Times New Roman"/>
          <w:sz w:val="24"/>
          <w:szCs w:val="24"/>
        </w:rPr>
      </w:pPr>
    </w:p>
    <w:p w14:paraId="697E10DD" w14:textId="77777777" w:rsidR="002C5BE0" w:rsidRDefault="002C5BE0" w:rsidP="002C5BE0">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4.</w:t>
      </w:r>
    </w:p>
    <w:p w14:paraId="2459CAD3" w14:textId="77777777" w:rsidR="002C5BE0" w:rsidRDefault="002C5BE0" w:rsidP="002C5BE0">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Tárgykört érintően a Szakmai Bizottság korábbi előterjesztéseihez képest hangsúlyosabban kell hivatkozzon a vélekedésével ellentétes álláspontok lehetőségére. Jellemzi a helyzetet, hogy a GDPR szakterületén specialisták között is jelentős véleményeltérés mutatkozik pl. az ügyvédnek az ügyfelével közös adatkezelése fennállása tekintetében, de az a tény is, hogy a tárgykört érintően monográfia szinten kidolgozott tanulmányban is önellentmondások mutatkoznak ugyanezen tárgykört érintően, más esetben az egyes specialisták nézetei között mutatkoznak akár arra nézve is eltérések, hogy az ügyvédi tevékenységnek az </w:t>
      </w:r>
      <w:proofErr w:type="spellStart"/>
      <w:r>
        <w:rPr>
          <w:rFonts w:ascii="Times New Roman" w:hAnsi="Times New Roman" w:cs="Times New Roman"/>
          <w:sz w:val="24"/>
          <w:szCs w:val="24"/>
        </w:rPr>
        <w:t>Üttv</w:t>
      </w:r>
      <w:proofErr w:type="spellEnd"/>
      <w:r>
        <w:rPr>
          <w:rFonts w:ascii="Times New Roman" w:hAnsi="Times New Roman" w:cs="Times New Roman"/>
          <w:sz w:val="24"/>
          <w:szCs w:val="24"/>
        </w:rPr>
        <w:t>. 2. § (1) bekezdésében írt felsorolásában írtak tekintetében kijelenthető-e egyáltalán, hogy az ügyvéd többnyire adatkezelő. A Szakmai Bizottság többségi álláspontja szerint ez viszont kijelenthető, mert ez következik az ott írt tevékenységek és a GDPR fent hivatkozott rendelkezéseinek lényegi elemeiből. Kétségtelen ugyanakkor, hogy sem a Szakmai Bizottság, sem a MÜK Elnöksége nem rendelkezik adatvédelmi hatósági jogkörrel.</w:t>
      </w:r>
    </w:p>
    <w:p w14:paraId="23C6C0A5" w14:textId="77777777" w:rsidR="002C5BE0" w:rsidRDefault="002C5BE0" w:rsidP="002C5BE0">
      <w:pPr>
        <w:spacing w:after="60" w:line="240" w:lineRule="auto"/>
        <w:jc w:val="both"/>
        <w:rPr>
          <w:rFonts w:ascii="Times New Roman" w:hAnsi="Times New Roman" w:cs="Times New Roman"/>
          <w:sz w:val="24"/>
          <w:szCs w:val="24"/>
        </w:rPr>
      </w:pPr>
    </w:p>
    <w:p w14:paraId="1AD93211" w14:textId="77777777" w:rsidR="002C5BE0" w:rsidRDefault="002C5BE0" w:rsidP="002C5BE0">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5.</w:t>
      </w:r>
    </w:p>
    <w:p w14:paraId="19626B87" w14:textId="77777777" w:rsidR="002C5BE0" w:rsidRDefault="002C5BE0" w:rsidP="002C5BE0">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Azt is hangsúlyozni szükséges, hogy a jelen előterjesztés nem térhet ki a GDPR által az ügyvédekkel támasztott követelmények egészére, hanem elsősorban az elsődlegesen és tömegesen mutatkozó kérdésekre igyekszik választ adni.</w:t>
      </w:r>
    </w:p>
    <w:p w14:paraId="6FC3DA1B" w14:textId="77777777" w:rsidR="002C5BE0" w:rsidRDefault="002C5BE0" w:rsidP="002C5BE0">
      <w:pPr>
        <w:spacing w:after="60" w:line="240" w:lineRule="auto"/>
        <w:jc w:val="both"/>
        <w:rPr>
          <w:rFonts w:ascii="Times New Roman" w:hAnsi="Times New Roman" w:cs="Times New Roman"/>
          <w:sz w:val="24"/>
          <w:szCs w:val="24"/>
        </w:rPr>
      </w:pPr>
    </w:p>
    <w:p w14:paraId="47932343" w14:textId="7886617C" w:rsidR="002C5BE0" w:rsidRDefault="002C5BE0" w:rsidP="002C5BE0">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A megkeresésre tehát Dr. Hidasi Gábor, Dr. Réti László, Dr. Sepsi Tibor, Dr. </w:t>
      </w:r>
      <w:proofErr w:type="spellStart"/>
      <w:r>
        <w:rPr>
          <w:rFonts w:ascii="Times New Roman" w:hAnsi="Times New Roman" w:cs="Times New Roman"/>
          <w:sz w:val="24"/>
          <w:szCs w:val="24"/>
        </w:rPr>
        <w:t>Liber</w:t>
      </w:r>
      <w:proofErr w:type="spellEnd"/>
      <w:r>
        <w:rPr>
          <w:rFonts w:ascii="Times New Roman" w:hAnsi="Times New Roman" w:cs="Times New Roman"/>
          <w:sz w:val="24"/>
          <w:szCs w:val="24"/>
        </w:rPr>
        <w:t xml:space="preserve"> Ádám, Dr. Kovács Zoltán, Dr. Baranyi Bertold, Dr. Osztopáni Krisztián, Dr. Homoki Péter és Dr. Szuchy Róbert adtak igen magas színvonalú, gyakran tanulmány szinten kidolgozott válaszokat, melyek lerövidítve, az abban szereplő többségi álláspontot elfogadva a jelen előterjesztés alapjául szolgálnak. A válaszadás során az előzetes előterjesztéssel a válaszadók többsége a legfontosabb tézisek tekintetében egyetértett, azt igen jelentős szakmai hivatkozásokkal támasztotta alá. Ezek közül az alábbiakban a legfontosabbak kerülnek kiemelésre. </w:t>
      </w:r>
    </w:p>
    <w:p w14:paraId="72BC9914" w14:textId="77777777" w:rsidR="002C5BE0" w:rsidRDefault="002C5BE0" w:rsidP="002C5BE0">
      <w:pPr>
        <w:spacing w:after="60" w:line="240" w:lineRule="auto"/>
        <w:jc w:val="both"/>
        <w:rPr>
          <w:rFonts w:ascii="Times New Roman" w:hAnsi="Times New Roman" w:cs="Times New Roman"/>
          <w:sz w:val="24"/>
          <w:szCs w:val="24"/>
        </w:rPr>
      </w:pPr>
    </w:p>
    <w:p w14:paraId="48498901" w14:textId="77777777" w:rsidR="002C5BE0" w:rsidRDefault="002C5BE0" w:rsidP="002C5BE0">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Véleményeltérés mutatkozott elsősorban a közös adatkezelésre nézve, mert </w:t>
      </w:r>
    </w:p>
    <w:p w14:paraId="4819C534" w14:textId="77777777" w:rsidR="002C5BE0" w:rsidRDefault="002C5BE0" w:rsidP="002C5BE0">
      <w:pPr>
        <w:pStyle w:val="Listaszerbekezds"/>
        <w:numPr>
          <w:ilvl w:val="0"/>
          <w:numId w:val="1"/>
        </w:numPr>
        <w:jc w:val="both"/>
        <w:rPr>
          <w:rFonts w:ascii="Times New Roman" w:hAnsi="Times New Roman" w:cs="Times New Roman"/>
          <w:sz w:val="24"/>
          <w:szCs w:val="24"/>
        </w:rPr>
      </w:pPr>
      <w:r w:rsidRPr="00343DE9">
        <w:rPr>
          <w:rFonts w:ascii="Times New Roman" w:hAnsi="Times New Roman" w:cs="Times New Roman"/>
          <w:sz w:val="24"/>
          <w:szCs w:val="24"/>
        </w:rPr>
        <w:t xml:space="preserve">míg az egyik álláspont képviselője (Dr. </w:t>
      </w:r>
      <w:proofErr w:type="spellStart"/>
      <w:r w:rsidRPr="00343DE9">
        <w:rPr>
          <w:rFonts w:ascii="Times New Roman" w:hAnsi="Times New Roman" w:cs="Times New Roman"/>
          <w:sz w:val="24"/>
          <w:szCs w:val="24"/>
        </w:rPr>
        <w:t>Liber</w:t>
      </w:r>
      <w:proofErr w:type="spellEnd"/>
      <w:r w:rsidRPr="00343DE9">
        <w:rPr>
          <w:rFonts w:ascii="Times New Roman" w:hAnsi="Times New Roman" w:cs="Times New Roman"/>
          <w:sz w:val="24"/>
          <w:szCs w:val="24"/>
        </w:rPr>
        <w:t xml:space="preserve"> Ádám) egyetértett azzal, hogy az ügyvéd nem közös adatkezelő (vö. GDPR 26 cikk), azaz az ügyvéd harmadik személyek irányába nem felel a saját ügyfelével egy sorban a személyes adatok kezeléséért (vö. GDPR 82. cikk (4) </w:t>
      </w:r>
      <w:proofErr w:type="spellStart"/>
      <w:r w:rsidRPr="00343DE9">
        <w:rPr>
          <w:rFonts w:ascii="Times New Roman" w:hAnsi="Times New Roman" w:cs="Times New Roman"/>
          <w:sz w:val="24"/>
          <w:szCs w:val="24"/>
        </w:rPr>
        <w:t>bek</w:t>
      </w:r>
      <w:proofErr w:type="spellEnd"/>
      <w:r w:rsidRPr="00343DE9">
        <w:rPr>
          <w:rFonts w:ascii="Times New Roman" w:hAnsi="Times New Roman" w:cs="Times New Roman"/>
          <w:sz w:val="24"/>
          <w:szCs w:val="24"/>
        </w:rPr>
        <w:t xml:space="preserve">.), </w:t>
      </w:r>
    </w:p>
    <w:p w14:paraId="1FAF2D91" w14:textId="77777777" w:rsidR="002C5BE0" w:rsidRDefault="002C5BE0" w:rsidP="002C5BE0">
      <w:pPr>
        <w:pStyle w:val="Listaszerbekezds"/>
        <w:numPr>
          <w:ilvl w:val="0"/>
          <w:numId w:val="1"/>
        </w:numPr>
        <w:jc w:val="both"/>
        <w:rPr>
          <w:rFonts w:ascii="Times New Roman" w:hAnsi="Times New Roman" w:cs="Times New Roman"/>
          <w:sz w:val="24"/>
          <w:szCs w:val="24"/>
        </w:rPr>
      </w:pPr>
      <w:r w:rsidRPr="00343DE9">
        <w:rPr>
          <w:rFonts w:ascii="Times New Roman" w:hAnsi="Times New Roman" w:cs="Times New Roman"/>
          <w:sz w:val="24"/>
          <w:szCs w:val="24"/>
        </w:rPr>
        <w:t xml:space="preserve">addig a másik álláspont képviselője (Dr. Osztopáni Krisztián) az Európai Unió Bírósága C-210/2016. sz. ítéletére hivatkozással azon az alapon értett egyet azzal, hogy az együttes felelősség nem feltétlenül jelenti az érintett különböző szereplők azonos felelősségét, hogy ezt az EU Bírósága a most hivatkozott számú ítéletében kimondta. </w:t>
      </w:r>
    </w:p>
    <w:p w14:paraId="1E73C6B4" w14:textId="77777777" w:rsidR="002C5BE0" w:rsidRDefault="002C5BE0" w:rsidP="002C5BE0">
      <w:pPr>
        <w:jc w:val="both"/>
      </w:pPr>
      <w:r w:rsidRPr="00343DE9">
        <w:rPr>
          <w:rFonts w:ascii="Times New Roman" w:hAnsi="Times New Roman" w:cs="Times New Roman"/>
          <w:sz w:val="24"/>
          <w:szCs w:val="24"/>
        </w:rPr>
        <w:t>A GDPR 82. cikk (4) bekezdése</w:t>
      </w:r>
      <w:r>
        <w:rPr>
          <w:rStyle w:val="Lbjegyzet-hivatkozs"/>
          <w:rFonts w:ascii="Times New Roman" w:hAnsi="Times New Roman" w:cs="Times New Roman"/>
          <w:sz w:val="24"/>
          <w:szCs w:val="24"/>
        </w:rPr>
        <w:footnoteReference w:id="1"/>
      </w:r>
      <w:r w:rsidRPr="00343DE9">
        <w:rPr>
          <w:rFonts w:ascii="Times New Roman" w:hAnsi="Times New Roman" w:cs="Times New Roman"/>
          <w:sz w:val="24"/>
          <w:szCs w:val="24"/>
        </w:rPr>
        <w:t xml:space="preserve"> egyértelmű szövege alapján azonban nem látszik kizárhatónak a közös adatkezelők egyetemleges felelőssége, viszont a kivételes körülményektől eltekintve az ügyvéd önálló adatkezelői minősége megállapíthatónak látszik. </w:t>
      </w:r>
    </w:p>
    <w:p w14:paraId="5A9AB59D" w14:textId="77777777" w:rsidR="002C5BE0" w:rsidRDefault="002C5BE0" w:rsidP="002C5BE0">
      <w:pPr>
        <w:spacing w:after="60" w:line="240" w:lineRule="auto"/>
        <w:jc w:val="both"/>
        <w:rPr>
          <w:rFonts w:ascii="Times New Roman" w:hAnsi="Times New Roman" w:cs="Times New Roman"/>
          <w:sz w:val="24"/>
          <w:szCs w:val="24"/>
        </w:rPr>
      </w:pPr>
    </w:p>
    <w:p w14:paraId="7C363A26" w14:textId="77777777" w:rsidR="002C5BE0" w:rsidRDefault="002C5BE0" w:rsidP="002C5BE0">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A GDPR 28. cikk (3) bekezdése szerinti fent kiemelt (vastagon szedett) követelmények elfogadása (mint utasítási jog, helyszíni ellenőrzés joga stb.) az ügyvédi függetlenség követelményébe ütközik, mert a döntéseket, amelyekért az ügyvéd önállóan felelős is, az ügyfél által meghatározott cél érdekében saját magának kell meghoznia. Az ügyvéd szellemi </w:t>
      </w:r>
      <w:r>
        <w:rPr>
          <w:rFonts w:ascii="Times New Roman" w:hAnsi="Times New Roman" w:cs="Times New Roman"/>
          <w:sz w:val="24"/>
          <w:szCs w:val="24"/>
        </w:rPr>
        <w:lastRenderedPageBreak/>
        <w:t xml:space="preserve">szabadfoglalkozásúként jár el, tevékenysége az igazságszolgáltatás része. Ezt az álláspontot támasztja alá a 22/1994. (IV.16.) AB határozat, az 52/1996 (XI.14.) AB határozat, az </w:t>
      </w:r>
      <w:proofErr w:type="spellStart"/>
      <w:r>
        <w:rPr>
          <w:rFonts w:ascii="Times New Roman" w:hAnsi="Times New Roman" w:cs="Times New Roman"/>
          <w:sz w:val="24"/>
          <w:szCs w:val="24"/>
        </w:rPr>
        <w:t>Üttv</w:t>
      </w:r>
      <w:proofErr w:type="spellEnd"/>
      <w:r>
        <w:rPr>
          <w:rFonts w:ascii="Times New Roman" w:hAnsi="Times New Roman" w:cs="Times New Roman"/>
          <w:sz w:val="24"/>
          <w:szCs w:val="24"/>
        </w:rPr>
        <w:t xml:space="preserve">. 6. §, az EU adatvédelmi munkacsoportja </w:t>
      </w:r>
      <w:r w:rsidRPr="00B56CAC">
        <w:rPr>
          <w:rFonts w:ascii="Times New Roman" w:hAnsi="Times New Roman" w:cs="Times New Roman"/>
          <w:sz w:val="24"/>
          <w:szCs w:val="24"/>
        </w:rPr>
        <w:t>1/2010. számú vélemény</w:t>
      </w:r>
      <w:r>
        <w:rPr>
          <w:rFonts w:ascii="Times New Roman" w:hAnsi="Times New Roman" w:cs="Times New Roman"/>
          <w:sz w:val="24"/>
          <w:szCs w:val="24"/>
        </w:rPr>
        <w:t>ének</w:t>
      </w:r>
      <w:r w:rsidRPr="00B56CAC">
        <w:rPr>
          <w:rFonts w:ascii="Times New Roman" w:hAnsi="Times New Roman" w:cs="Times New Roman"/>
          <w:sz w:val="24"/>
          <w:szCs w:val="24"/>
        </w:rPr>
        <w:t xml:space="preserve"> az „adatkezelő” és az „adatfeldolgozó” fogalmáról</w:t>
      </w:r>
      <w:r>
        <w:rPr>
          <w:rFonts w:ascii="Times New Roman" w:hAnsi="Times New Roman" w:cs="Times New Roman"/>
          <w:sz w:val="24"/>
          <w:szCs w:val="24"/>
        </w:rPr>
        <w:t xml:space="preserve"> szóló 21. példája is: „</w:t>
      </w:r>
      <w:r w:rsidRPr="008026F2">
        <w:rPr>
          <w:rFonts w:ascii="Times New Roman" w:hAnsi="Times New Roman" w:cs="Times New Roman"/>
          <w:i/>
          <w:sz w:val="24"/>
          <w:szCs w:val="24"/>
        </w:rPr>
        <w:t>Az ügyvéd az ügyfelét a bíróságon képviseli, és ezzel a feladattal kapcsolatban az ügyfele ügyéhez kapcsolódó személyes adatokat dolgoz fel. A szükséges információ felhasználásának jogalapja az ügyféltől kapott megbízás. Ez a megbízás azonban nem az adatkezelésre, hanem a bíróság előtti képviseletre összpontosít, amely tevékenységre az ilyen hivatásoknak hagyományosan megvan a saját jogalapjuk. Az ilyen hivatások képviselői ezért független „adatkezelőnek” tekintendők, amikor az ügyfeleik jogi képviselete során adatot dolgoznak fel.</w:t>
      </w:r>
      <w:r>
        <w:rPr>
          <w:rFonts w:ascii="Times New Roman" w:hAnsi="Times New Roman" w:cs="Times New Roman"/>
          <w:sz w:val="24"/>
          <w:szCs w:val="24"/>
        </w:rPr>
        <w:t xml:space="preserve">” </w:t>
      </w:r>
    </w:p>
    <w:p w14:paraId="4761B625" w14:textId="77777777" w:rsidR="002C5BE0" w:rsidRDefault="002C5BE0" w:rsidP="002C5BE0">
      <w:pPr>
        <w:spacing w:after="60" w:line="240" w:lineRule="auto"/>
        <w:jc w:val="both"/>
        <w:rPr>
          <w:rFonts w:ascii="Times New Roman" w:hAnsi="Times New Roman" w:cs="Times New Roman"/>
          <w:sz w:val="24"/>
          <w:szCs w:val="24"/>
        </w:rPr>
      </w:pPr>
    </w:p>
    <w:p w14:paraId="0A958A7A" w14:textId="77777777" w:rsidR="002C5BE0" w:rsidRDefault="002C5BE0" w:rsidP="002C5BE0">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Látható ugyanakkor, hogy az ügyvéd részéről az adatkezelői minőséget megalapozza a GDPR 6. cikk (1) bekezdésének c) és e) pontja is, hiszen az ügyvéd részéről </w:t>
      </w:r>
      <w:r w:rsidRPr="004E3A7D">
        <w:rPr>
          <w:rFonts w:ascii="Times New Roman" w:hAnsi="Times New Roman" w:cs="Times New Roman"/>
          <w:sz w:val="24"/>
          <w:szCs w:val="24"/>
        </w:rPr>
        <w:t>az adatkezelés a rá vonatkozó jogi kötelezet</w:t>
      </w:r>
      <w:r>
        <w:rPr>
          <w:rFonts w:ascii="Times New Roman" w:hAnsi="Times New Roman" w:cs="Times New Roman"/>
          <w:sz w:val="24"/>
          <w:szCs w:val="24"/>
        </w:rPr>
        <w:t>tség teljesítéséhez</w:t>
      </w:r>
      <w:r w:rsidRPr="004E3A7D">
        <w:rPr>
          <w:rFonts w:ascii="Times New Roman" w:hAnsi="Times New Roman" w:cs="Times New Roman"/>
          <w:sz w:val="24"/>
          <w:szCs w:val="24"/>
        </w:rPr>
        <w:t xml:space="preserve">, más tekintetben pedig közérdekű feladat végrehajtásához </w:t>
      </w:r>
      <w:r>
        <w:rPr>
          <w:rFonts w:ascii="Times New Roman" w:hAnsi="Times New Roman" w:cs="Times New Roman"/>
          <w:sz w:val="24"/>
          <w:szCs w:val="24"/>
        </w:rPr>
        <w:t xml:space="preserve">lehet </w:t>
      </w:r>
      <w:r w:rsidRPr="004E3A7D">
        <w:rPr>
          <w:rFonts w:ascii="Times New Roman" w:hAnsi="Times New Roman" w:cs="Times New Roman"/>
          <w:sz w:val="24"/>
          <w:szCs w:val="24"/>
        </w:rPr>
        <w:t>szükséges.</w:t>
      </w:r>
    </w:p>
    <w:p w14:paraId="25EE266A" w14:textId="77777777" w:rsidR="002C5BE0" w:rsidRDefault="002C5BE0" w:rsidP="002C5BE0">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Ezt támasztja alá, ahogy a</w:t>
      </w:r>
      <w:r w:rsidRPr="00272C2F">
        <w:rPr>
          <w:rFonts w:ascii="Times New Roman" w:hAnsi="Times New Roman" w:cs="Times New Roman"/>
          <w:sz w:val="24"/>
          <w:szCs w:val="24"/>
        </w:rPr>
        <w:t xml:space="preserve">z </w:t>
      </w:r>
      <w:proofErr w:type="spellStart"/>
      <w:r w:rsidRPr="00272C2F">
        <w:rPr>
          <w:rFonts w:ascii="Times New Roman" w:hAnsi="Times New Roman" w:cs="Times New Roman"/>
          <w:sz w:val="24"/>
          <w:szCs w:val="24"/>
        </w:rPr>
        <w:t>Üttv</w:t>
      </w:r>
      <w:proofErr w:type="spellEnd"/>
      <w:r w:rsidRPr="00272C2F">
        <w:rPr>
          <w:rFonts w:ascii="Times New Roman" w:hAnsi="Times New Roman" w:cs="Times New Roman"/>
          <w:sz w:val="24"/>
          <w:szCs w:val="24"/>
        </w:rPr>
        <w:t>. 28.§ (3) bekezdése meghatározza a megbízási jogviszony</w:t>
      </w:r>
      <w:r>
        <w:rPr>
          <w:rFonts w:ascii="Times New Roman" w:hAnsi="Times New Roman" w:cs="Times New Roman"/>
          <w:sz w:val="24"/>
          <w:szCs w:val="24"/>
        </w:rPr>
        <w:t xml:space="preserve"> kötelező és alapvető tartalmát:</w:t>
      </w:r>
      <w:r w:rsidRPr="00272C2F">
        <w:rPr>
          <w:rFonts w:ascii="Times New Roman" w:hAnsi="Times New Roman" w:cs="Times New Roman"/>
          <w:b/>
          <w:sz w:val="24"/>
          <w:szCs w:val="24"/>
        </w:rPr>
        <w:t xml:space="preserve"> </w:t>
      </w:r>
      <w:r w:rsidRPr="00272C2F">
        <w:rPr>
          <w:rFonts w:ascii="Times New Roman" w:hAnsi="Times New Roman" w:cs="Times New Roman"/>
          <w:i/>
          <w:sz w:val="24"/>
          <w:szCs w:val="24"/>
        </w:rPr>
        <w:t xml:space="preserve">„A felek eltérő rendelkezése hiányában a megbízási szerződés alapján a megbízott jogosult és </w:t>
      </w:r>
      <w:r w:rsidRPr="00ED6529">
        <w:rPr>
          <w:rFonts w:ascii="Times New Roman" w:hAnsi="Times New Roman" w:cs="Times New Roman"/>
          <w:i/>
          <w:sz w:val="24"/>
          <w:szCs w:val="24"/>
        </w:rPr>
        <w:t>kötelezett minden olyan cselekmény elvégzésére, amely a rábízott ügy szabályszerű ellátásával jár</w:t>
      </w:r>
      <w:r>
        <w:rPr>
          <w:rFonts w:ascii="Times New Roman" w:hAnsi="Times New Roman" w:cs="Times New Roman"/>
          <w:i/>
          <w:sz w:val="24"/>
          <w:szCs w:val="24"/>
        </w:rPr>
        <w:t>.</w:t>
      </w:r>
      <w:r w:rsidRPr="00ED6529">
        <w:rPr>
          <w:rFonts w:ascii="Times New Roman" w:hAnsi="Times New Roman" w:cs="Times New Roman"/>
          <w:i/>
          <w:sz w:val="24"/>
          <w:szCs w:val="24"/>
        </w:rPr>
        <w:t xml:space="preserve">” </w:t>
      </w:r>
      <w:r w:rsidRPr="00ED6529">
        <w:rPr>
          <w:rFonts w:ascii="Times New Roman" w:hAnsi="Times New Roman" w:cs="Times New Roman"/>
          <w:sz w:val="24"/>
          <w:szCs w:val="24"/>
        </w:rPr>
        <w:t xml:space="preserve">Az ügyvédi feladatok természetéből adódik, hogy adatok jutnak az ügyvéd tudomására, melyekre nézve szigorú titoktartási követelményeket ír elő a törvény. A feladatteljesítés (ügyellátás) természetéből és az </w:t>
      </w:r>
      <w:proofErr w:type="spellStart"/>
      <w:r w:rsidRPr="00ED6529">
        <w:rPr>
          <w:rFonts w:ascii="Times New Roman" w:hAnsi="Times New Roman" w:cs="Times New Roman"/>
          <w:sz w:val="24"/>
          <w:szCs w:val="24"/>
        </w:rPr>
        <w:t>Üttv</w:t>
      </w:r>
      <w:proofErr w:type="spellEnd"/>
      <w:r w:rsidRPr="00ED6529">
        <w:rPr>
          <w:rFonts w:ascii="Times New Roman" w:hAnsi="Times New Roman" w:cs="Times New Roman"/>
          <w:sz w:val="24"/>
          <w:szCs w:val="24"/>
        </w:rPr>
        <w:t>. szerinti titoktartási kötelezettségből adódik tehát, hogy az ügyvéd köteles elvégezni azt az adatkezelési cselekményt, amit a rábízott ügy szabályszerű ellátása megkövetel.</w:t>
      </w:r>
      <w:r w:rsidRPr="00272C2F">
        <w:rPr>
          <w:rFonts w:ascii="Times New Roman" w:hAnsi="Times New Roman" w:cs="Times New Roman"/>
          <w:sz w:val="24"/>
          <w:szCs w:val="24"/>
        </w:rPr>
        <w:t xml:space="preserve"> </w:t>
      </w:r>
    </w:p>
    <w:p w14:paraId="3C447DE9" w14:textId="77777777" w:rsidR="002C5BE0" w:rsidRDefault="002C5BE0" w:rsidP="002C5BE0">
      <w:pPr>
        <w:spacing w:after="60" w:line="240" w:lineRule="auto"/>
        <w:jc w:val="both"/>
        <w:rPr>
          <w:rFonts w:ascii="Times New Roman" w:hAnsi="Times New Roman" w:cs="Times New Roman"/>
          <w:sz w:val="24"/>
          <w:szCs w:val="24"/>
        </w:rPr>
      </w:pPr>
    </w:p>
    <w:p w14:paraId="2A9F1F79" w14:textId="77777777" w:rsidR="002C5BE0" w:rsidRDefault="002C5BE0" w:rsidP="002C5BE0">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Az Európai Ügyvédi Kamarák Tanácsának informatikai jogi szakosztályában készített, az uniós tagországok adatvédelmi gyakorlatára vonatkozó felmérés szerint az uniós tagállamokban vagy az a domináns álláspont, hogy az ügyvéd kizárólag adatkezelő, vagy dominánsan, az ügyvédi függetlensége miatt adatkezelő, és kivételesen jár csak el adatfeldolgozói minőségében.</w:t>
      </w:r>
    </w:p>
    <w:p w14:paraId="358737E7" w14:textId="77777777" w:rsidR="002C5BE0" w:rsidRDefault="002C5BE0" w:rsidP="002C5BE0">
      <w:pPr>
        <w:spacing w:after="60" w:line="240" w:lineRule="auto"/>
        <w:jc w:val="both"/>
        <w:rPr>
          <w:rFonts w:ascii="Times New Roman" w:hAnsi="Times New Roman" w:cs="Times New Roman"/>
          <w:sz w:val="24"/>
          <w:szCs w:val="24"/>
        </w:rPr>
      </w:pPr>
    </w:p>
    <w:p w14:paraId="1F7875AE" w14:textId="77777777" w:rsidR="002C5BE0" w:rsidRDefault="002C5BE0" w:rsidP="002C5BE0">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adatvédelmi tisztviselő kötelező kijelölését minden adatkezelő esetén a GDPR fent idézett </w:t>
      </w:r>
      <w:r>
        <w:rPr>
          <w:rFonts w:ascii="Times New Roman" w:eastAsia="Times New Roman" w:hAnsi="Times New Roman" w:cs="Times New Roman"/>
          <w:color w:val="000000"/>
          <w:sz w:val="24"/>
          <w:szCs w:val="24"/>
          <w:lang w:eastAsia="hu-HU"/>
        </w:rPr>
        <w:t xml:space="preserve">37. cikk </w:t>
      </w:r>
      <w:r w:rsidRPr="000D14A6">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1</w:t>
      </w:r>
      <w:r w:rsidRPr="000D14A6">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 xml:space="preserve"> bekezdése az ott írt kivételek mellett írja elő. Kérdésként merülhet fel, hogy az (1) </w:t>
      </w:r>
      <w:proofErr w:type="spellStart"/>
      <w:r>
        <w:rPr>
          <w:rFonts w:ascii="Times New Roman" w:eastAsia="Times New Roman" w:hAnsi="Times New Roman" w:cs="Times New Roman"/>
          <w:color w:val="000000"/>
          <w:sz w:val="24"/>
          <w:szCs w:val="24"/>
          <w:lang w:eastAsia="hu-HU"/>
        </w:rPr>
        <w:t>bek</w:t>
      </w:r>
      <w:proofErr w:type="spellEnd"/>
      <w:r>
        <w:rPr>
          <w:rFonts w:ascii="Times New Roman" w:eastAsia="Times New Roman" w:hAnsi="Times New Roman" w:cs="Times New Roman"/>
          <w:color w:val="000000"/>
          <w:sz w:val="24"/>
          <w:szCs w:val="24"/>
          <w:lang w:eastAsia="hu-HU"/>
        </w:rPr>
        <w:t>. a) pontja szerint közfeladatot ellátó szervnek minősül-e az ügyvéd a GDPR szempontjából. Ebben a tekintetben meggyőzőnek tűnik Réti László – Sepsi Tibor közös tanulmányában írt azon érvelés, ami az angol eredeti szövegre (</w:t>
      </w:r>
      <w:proofErr w:type="spellStart"/>
      <w:r>
        <w:rPr>
          <w:rFonts w:ascii="Times New Roman" w:eastAsia="Times New Roman" w:hAnsi="Times New Roman" w:cs="Times New Roman"/>
          <w:color w:val="000000"/>
          <w:sz w:val="24"/>
          <w:szCs w:val="24"/>
          <w:lang w:eastAsia="hu-HU"/>
        </w:rPr>
        <w:t>public</w:t>
      </w:r>
      <w:proofErr w:type="spellEnd"/>
      <w:r>
        <w:rPr>
          <w:rFonts w:ascii="Times New Roman" w:eastAsia="Times New Roman" w:hAnsi="Times New Roman" w:cs="Times New Roman"/>
          <w:color w:val="000000"/>
          <w:sz w:val="24"/>
          <w:szCs w:val="24"/>
          <w:lang w:eastAsia="hu-HU"/>
        </w:rPr>
        <w:t xml:space="preserve"> body) utalással foglal állást amellett, hogy tárgyi jogszabály alkalmazása szempontjából az ügyvéd (vagy ügyvédi iroda) nem tekintendő közfeladatot ellátó szervnek (</w:t>
      </w:r>
      <w:proofErr w:type="spellStart"/>
      <w:r>
        <w:rPr>
          <w:rFonts w:ascii="Times New Roman" w:eastAsia="Times New Roman" w:hAnsi="Times New Roman" w:cs="Times New Roman"/>
          <w:color w:val="000000"/>
          <w:sz w:val="24"/>
          <w:szCs w:val="24"/>
          <w:lang w:eastAsia="hu-HU"/>
        </w:rPr>
        <w:t>public</w:t>
      </w:r>
      <w:proofErr w:type="spellEnd"/>
      <w:r>
        <w:rPr>
          <w:rFonts w:ascii="Times New Roman" w:eastAsia="Times New Roman" w:hAnsi="Times New Roman" w:cs="Times New Roman"/>
          <w:color w:val="000000"/>
          <w:sz w:val="24"/>
          <w:szCs w:val="24"/>
          <w:lang w:eastAsia="hu-HU"/>
        </w:rPr>
        <w:t xml:space="preserve"> body-</w:t>
      </w:r>
      <w:proofErr w:type="spellStart"/>
      <w:r>
        <w:rPr>
          <w:rFonts w:ascii="Times New Roman" w:eastAsia="Times New Roman" w:hAnsi="Times New Roman" w:cs="Times New Roman"/>
          <w:color w:val="000000"/>
          <w:sz w:val="24"/>
          <w:szCs w:val="24"/>
          <w:lang w:eastAsia="hu-HU"/>
        </w:rPr>
        <w:t>nak</w:t>
      </w:r>
      <w:proofErr w:type="spellEnd"/>
      <w:r>
        <w:rPr>
          <w:rFonts w:ascii="Times New Roman" w:eastAsia="Times New Roman" w:hAnsi="Times New Roman" w:cs="Times New Roman"/>
          <w:color w:val="000000"/>
          <w:sz w:val="24"/>
          <w:szCs w:val="24"/>
          <w:lang w:eastAsia="hu-HU"/>
        </w:rPr>
        <w:t xml:space="preserve">). </w:t>
      </w:r>
    </w:p>
    <w:p w14:paraId="6B47691A" w14:textId="77777777" w:rsidR="002C5BE0" w:rsidRDefault="002C5BE0" w:rsidP="002C5BE0">
      <w:pPr>
        <w:spacing w:after="60" w:line="240" w:lineRule="auto"/>
        <w:jc w:val="both"/>
        <w:rPr>
          <w:rFonts w:ascii="Times New Roman" w:hAnsi="Times New Roman" w:cs="Times New Roman"/>
          <w:sz w:val="24"/>
          <w:szCs w:val="24"/>
        </w:rPr>
      </w:pPr>
    </w:p>
    <w:p w14:paraId="2D9802EE" w14:textId="77777777" w:rsidR="002C5BE0" w:rsidRPr="00343DE9" w:rsidRDefault="002C5BE0" w:rsidP="002C5BE0">
      <w:pPr>
        <w:spacing w:after="6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(1) bekezdés b) és c) alpontja tekintetében pedig a magyarországi ügyvédi irodai méretekre (létszámra) és az ügyvédi irodák által végzett tipikus adatkezelési tevékenységekre figyelemmel a nagymértékű (nagyszámú) adatkezelés az ügyvédi tevékenység ellátása során tipikusan nem valósulhat meg. Erre figyelemmel az adatvédelmi tisztviselő kijelölésének kötelezettsége az ügyvéd (ügyvédi iroda) mint adatkezelő részéről nem elvárás. Egyes ügyvédi irodák a tipikus ügyvédi tevékenységet jóval meghaladó adatmennyiségű és magas kockázatú adatkezelések, valamint a tipikus ügyvédi tevékenységtől jelentősen eltérő adatkezelési műveletek esetén indokoltnak tarthatják az adatvédelmi tisztviselő kijelölését.</w:t>
      </w:r>
    </w:p>
    <w:p w14:paraId="3BB5414C" w14:textId="77777777" w:rsidR="002C5BE0" w:rsidRDefault="002C5BE0" w:rsidP="002C5BE0">
      <w:pPr>
        <w:spacing w:after="60" w:line="240" w:lineRule="auto"/>
        <w:jc w:val="both"/>
        <w:rPr>
          <w:rFonts w:ascii="Times New Roman" w:hAnsi="Times New Roman" w:cs="Times New Roman"/>
          <w:sz w:val="24"/>
          <w:szCs w:val="24"/>
        </w:rPr>
      </w:pPr>
    </w:p>
    <w:p w14:paraId="3396DC79" w14:textId="77777777" w:rsidR="002C5BE0" w:rsidRDefault="002C5BE0" w:rsidP="002C5BE0">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Speciális helyzetet jelent az ügyvéd helyettesítési során eljáró ügyvéd szerepe, amikor is meg kell különböztetni az ügyféllel közvetlenül megbízási kapcsolatban levő helyettes ügyvéd helyzetét az ügyfél (adott esetben hallgatólagos) hozzájárulásával eljáró, de vele megbízási kapcsolatban nem levő helyettes ügyvéd eljárásától. Míg az első esetben a helyettes ügyvéd eljárásának a jogalapját az ügyféltől származó megbízási szerződés adja, ami önálló döntési </w:t>
      </w:r>
      <w:r>
        <w:rPr>
          <w:rFonts w:ascii="Times New Roman" w:hAnsi="Times New Roman" w:cs="Times New Roman"/>
          <w:sz w:val="24"/>
          <w:szCs w:val="24"/>
        </w:rPr>
        <w:lastRenderedPageBreak/>
        <w:t xml:space="preserve">jogot is biztosít a számára, az utóbbi esetben a döntési jog és felelősség a megbízó ügyvédhez kapcsolódik, ezért a helyettes ügyvéd vele szemben adatfeldolgozónak minősül. </w:t>
      </w:r>
    </w:p>
    <w:p w14:paraId="3D94DBF5" w14:textId="77777777" w:rsidR="002C5BE0" w:rsidRDefault="002C5BE0" w:rsidP="002C5BE0">
      <w:pPr>
        <w:spacing w:after="60" w:line="240" w:lineRule="auto"/>
        <w:jc w:val="both"/>
        <w:rPr>
          <w:rFonts w:ascii="Times New Roman" w:hAnsi="Times New Roman" w:cs="Times New Roman"/>
          <w:sz w:val="24"/>
          <w:szCs w:val="24"/>
        </w:rPr>
      </w:pPr>
    </w:p>
    <w:p w14:paraId="12C72338" w14:textId="6F14B888" w:rsidR="002C5BE0" w:rsidRDefault="002C5BE0" w:rsidP="002C5BE0">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A</w:t>
      </w:r>
      <w:r w:rsidR="00926132">
        <w:rPr>
          <w:rFonts w:ascii="Times New Roman" w:hAnsi="Times New Roman" w:cs="Times New Roman"/>
          <w:sz w:val="24"/>
          <w:szCs w:val="24"/>
        </w:rPr>
        <w:t xml:space="preserve"> jelen</w:t>
      </w:r>
      <w:r>
        <w:rPr>
          <w:rFonts w:ascii="Times New Roman" w:hAnsi="Times New Roman" w:cs="Times New Roman"/>
          <w:sz w:val="24"/>
          <w:szCs w:val="24"/>
        </w:rPr>
        <w:t xml:space="preserve"> Szakmai Álláspont kifejezetten az ügyvédekre, és nem az ügyvédi tevékenységet folytató személyekre vonatkozik, ugyanis a kamarai jogtanácsosok részéről a tárgyi munka végzésekor még nem történt meg a delegált személy Szakmai Bizottságba történő jelölése, a tervezet megküldése ezért előzetesen kizárólag Dr. Csere Bálint elnökhelyettes úr részére történhetett a kamarai jogtanácsosi tagozat tekintetében. A MÜK Elnöksége</w:t>
      </w:r>
      <w:r w:rsidR="00926132">
        <w:rPr>
          <w:rFonts w:ascii="Times New Roman" w:hAnsi="Times New Roman" w:cs="Times New Roman"/>
          <w:sz w:val="24"/>
          <w:szCs w:val="24"/>
        </w:rPr>
        <w:t xml:space="preserve"> a most közzétételre</w:t>
      </w:r>
      <w:r>
        <w:rPr>
          <w:rFonts w:ascii="Times New Roman" w:hAnsi="Times New Roman" w:cs="Times New Roman"/>
          <w:sz w:val="24"/>
          <w:szCs w:val="24"/>
        </w:rPr>
        <w:t xml:space="preserve"> kerülő Szakmai Álláspontot a kamarai jogtanácsosi tagozat álláspontjának ismeretében szükség esetén bővítheti. </w:t>
      </w:r>
    </w:p>
    <w:p w14:paraId="3BFEE1C6" w14:textId="77777777" w:rsidR="002C5BE0" w:rsidRDefault="002C5BE0" w:rsidP="00835261">
      <w:pPr>
        <w:spacing w:after="0" w:line="240" w:lineRule="auto"/>
        <w:ind w:right="-567"/>
        <w:jc w:val="both"/>
        <w:rPr>
          <w:rFonts w:ascii="Times New Roman" w:hAnsi="Times New Roman" w:cs="Times New Roman"/>
          <w:b/>
          <w:sz w:val="24"/>
          <w:szCs w:val="24"/>
        </w:rPr>
      </w:pPr>
    </w:p>
    <w:p w14:paraId="7D2721A6" w14:textId="5C35E19C" w:rsidR="002C5BE0" w:rsidRPr="002C5BE0" w:rsidRDefault="002C5BE0" w:rsidP="00835261">
      <w:pPr>
        <w:spacing w:after="0" w:line="240" w:lineRule="auto"/>
        <w:ind w:right="-567"/>
        <w:jc w:val="both"/>
        <w:rPr>
          <w:rFonts w:ascii="Times New Roman" w:hAnsi="Times New Roman" w:cs="Times New Roman"/>
          <w:sz w:val="24"/>
          <w:szCs w:val="24"/>
        </w:rPr>
      </w:pPr>
      <w:r w:rsidRPr="002C5BE0">
        <w:rPr>
          <w:rFonts w:ascii="Times New Roman" w:hAnsi="Times New Roman" w:cs="Times New Roman"/>
          <w:sz w:val="24"/>
          <w:szCs w:val="24"/>
        </w:rPr>
        <w:t>Budapest, 2019.</w:t>
      </w:r>
      <w:r>
        <w:rPr>
          <w:rFonts w:ascii="Times New Roman" w:hAnsi="Times New Roman" w:cs="Times New Roman"/>
          <w:sz w:val="24"/>
          <w:szCs w:val="24"/>
        </w:rPr>
        <w:t xml:space="preserve"> április 15.</w:t>
      </w:r>
    </w:p>
    <w:p w14:paraId="2C2597A0" w14:textId="77777777" w:rsidR="00616ACA" w:rsidRPr="00835261" w:rsidRDefault="00616ACA" w:rsidP="00835261">
      <w:pPr>
        <w:spacing w:after="0" w:line="240" w:lineRule="auto"/>
        <w:ind w:right="-567"/>
        <w:jc w:val="both"/>
        <w:rPr>
          <w:rFonts w:ascii="Times New Roman" w:hAnsi="Times New Roman" w:cs="Times New Roman"/>
          <w:b/>
          <w:sz w:val="24"/>
          <w:szCs w:val="24"/>
        </w:rPr>
      </w:pPr>
    </w:p>
    <w:sectPr w:rsidR="00616ACA" w:rsidRPr="00835261" w:rsidSect="00835261">
      <w:footerReference w:type="default" r:id="rId8"/>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2A2A7" w14:textId="77777777" w:rsidR="00623DB7" w:rsidRDefault="00623DB7" w:rsidP="00891E9C">
      <w:pPr>
        <w:spacing w:after="0" w:line="240" w:lineRule="auto"/>
      </w:pPr>
      <w:r>
        <w:separator/>
      </w:r>
    </w:p>
  </w:endnote>
  <w:endnote w:type="continuationSeparator" w:id="0">
    <w:p w14:paraId="43FD68AC" w14:textId="77777777" w:rsidR="00623DB7" w:rsidRDefault="00623DB7" w:rsidP="00891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Medium">
    <w:panose1 w:val="020B0500000000000000"/>
    <w:charset w:val="80"/>
    <w:family w:val="swiss"/>
    <w:pitch w:val="variable"/>
    <w:sig w:usb0="00000287"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D2511" w14:textId="7F486EA5" w:rsidR="00343DE9" w:rsidRDefault="00343DE9">
    <w:pPr>
      <w:pStyle w:val="llb"/>
      <w:jc w:val="right"/>
    </w:pPr>
  </w:p>
  <w:p w14:paraId="5D81DE81" w14:textId="77777777" w:rsidR="006E6D48" w:rsidRDefault="006E6D4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460D1" w14:textId="77777777" w:rsidR="00623DB7" w:rsidRDefault="00623DB7" w:rsidP="00891E9C">
      <w:pPr>
        <w:spacing w:after="0" w:line="240" w:lineRule="auto"/>
      </w:pPr>
      <w:r>
        <w:separator/>
      </w:r>
    </w:p>
  </w:footnote>
  <w:footnote w:type="continuationSeparator" w:id="0">
    <w:p w14:paraId="478CE977" w14:textId="77777777" w:rsidR="00623DB7" w:rsidRDefault="00623DB7" w:rsidP="00891E9C">
      <w:pPr>
        <w:spacing w:after="0" w:line="240" w:lineRule="auto"/>
      </w:pPr>
      <w:r>
        <w:continuationSeparator/>
      </w:r>
    </w:p>
  </w:footnote>
  <w:footnote w:id="1">
    <w:p w14:paraId="7C9ECD51" w14:textId="77777777" w:rsidR="002C5BE0" w:rsidRPr="00343DE9" w:rsidRDefault="002C5BE0" w:rsidP="002C5BE0">
      <w:pPr>
        <w:pStyle w:val="Lbjegyzetszveg"/>
        <w:jc w:val="both"/>
        <w:rPr>
          <w:rFonts w:ascii="Times New Roman" w:hAnsi="Times New Roman" w:cs="Times New Roman"/>
        </w:rPr>
      </w:pPr>
      <w:r w:rsidRPr="00343DE9">
        <w:rPr>
          <w:rStyle w:val="Lbjegyzet-hivatkozs"/>
          <w:rFonts w:ascii="Times New Roman" w:hAnsi="Times New Roman" w:cs="Times New Roman"/>
        </w:rPr>
        <w:footnoteRef/>
      </w:r>
      <w:r w:rsidRPr="00343DE9">
        <w:rPr>
          <w:rFonts w:ascii="Times New Roman" w:hAnsi="Times New Roman" w:cs="Times New Roman"/>
        </w:rPr>
        <w:t xml:space="preserve"> 28.cikk (4) Ha több adatkezelő vagy több adatfeldolgozó vagy mind az adatkezelő mind az adatfeldolgozó érintett ugyanabban az adatkezelésben, és – a (2) és (3) bekezdés alapján – felelősséggel tartozik az adatkezelés által okozott károkért, minden egyes adatkezelő vagy adatfeldolgozó az érintett tényleges kártérítésének biztosítása érdekében egyetemleges felelősséggel tartozik a teljes kárért.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3926"/>
    <w:multiLevelType w:val="hybridMultilevel"/>
    <w:tmpl w:val="492EECDE"/>
    <w:lvl w:ilvl="0" w:tplc="44BEB94C">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FA30DDF"/>
    <w:multiLevelType w:val="hybridMultilevel"/>
    <w:tmpl w:val="7CB22734"/>
    <w:lvl w:ilvl="0" w:tplc="6A5244AC">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6CD65AC"/>
    <w:multiLevelType w:val="hybridMultilevel"/>
    <w:tmpl w:val="9CD4E122"/>
    <w:lvl w:ilvl="0" w:tplc="5BB0C0FE">
      <w:start w:val="1"/>
      <w:numFmt w:val="bullet"/>
      <w:lvlText w:val="­"/>
      <w:lvlJc w:val="left"/>
      <w:pPr>
        <w:ind w:left="720" w:hanging="360"/>
      </w:pPr>
      <w:rPr>
        <w:rFonts w:ascii="Yu Gothic Medium" w:eastAsia="Yu Gothic Medium" w:hAnsi="Yu Gothic Medium" w:hint="eastAsia"/>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941"/>
    <w:rsid w:val="00064905"/>
    <w:rsid w:val="000B2EC8"/>
    <w:rsid w:val="000D14A6"/>
    <w:rsid w:val="000D47E7"/>
    <w:rsid w:val="00156C1A"/>
    <w:rsid w:val="001A3941"/>
    <w:rsid w:val="002C5BE0"/>
    <w:rsid w:val="00343DE9"/>
    <w:rsid w:val="0035021A"/>
    <w:rsid w:val="003B66A5"/>
    <w:rsid w:val="003C2658"/>
    <w:rsid w:val="004723F3"/>
    <w:rsid w:val="00494B5F"/>
    <w:rsid w:val="004A6BA3"/>
    <w:rsid w:val="004E3A7D"/>
    <w:rsid w:val="004E6465"/>
    <w:rsid w:val="0057178D"/>
    <w:rsid w:val="00572452"/>
    <w:rsid w:val="006032EB"/>
    <w:rsid w:val="00616ACA"/>
    <w:rsid w:val="00623DB7"/>
    <w:rsid w:val="00642DD8"/>
    <w:rsid w:val="006A4F4F"/>
    <w:rsid w:val="006D1384"/>
    <w:rsid w:val="006E6D48"/>
    <w:rsid w:val="00734206"/>
    <w:rsid w:val="00786675"/>
    <w:rsid w:val="007B7789"/>
    <w:rsid w:val="007F7F04"/>
    <w:rsid w:val="00835261"/>
    <w:rsid w:val="00891E9C"/>
    <w:rsid w:val="008D4B8C"/>
    <w:rsid w:val="00926132"/>
    <w:rsid w:val="009266F1"/>
    <w:rsid w:val="00927E1E"/>
    <w:rsid w:val="00952264"/>
    <w:rsid w:val="0097398E"/>
    <w:rsid w:val="009F6712"/>
    <w:rsid w:val="00A05DE4"/>
    <w:rsid w:val="00A5232C"/>
    <w:rsid w:val="00B47CA6"/>
    <w:rsid w:val="00B84EE8"/>
    <w:rsid w:val="00BE3116"/>
    <w:rsid w:val="00C7735A"/>
    <w:rsid w:val="00CA68B1"/>
    <w:rsid w:val="00CC6AB0"/>
    <w:rsid w:val="00CE0F15"/>
    <w:rsid w:val="00D049E1"/>
    <w:rsid w:val="00D12FF8"/>
    <w:rsid w:val="00D44BDF"/>
    <w:rsid w:val="00DA5FDD"/>
    <w:rsid w:val="00DB58B1"/>
    <w:rsid w:val="00DF1B88"/>
    <w:rsid w:val="00DF3A27"/>
    <w:rsid w:val="00E12564"/>
    <w:rsid w:val="00ED6529"/>
    <w:rsid w:val="00FD41D9"/>
    <w:rsid w:val="00FF41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6A0CC"/>
  <w15:chartTrackingRefBased/>
  <w15:docId w15:val="{FF3080C2-438E-4C37-B553-0232B9A4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891E9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891E9C"/>
    <w:rPr>
      <w:sz w:val="20"/>
      <w:szCs w:val="20"/>
    </w:rPr>
  </w:style>
  <w:style w:type="character" w:styleId="Lbjegyzet-hivatkozs">
    <w:name w:val="footnote reference"/>
    <w:basedOn w:val="Bekezdsalapbettpusa"/>
    <w:uiPriority w:val="99"/>
    <w:semiHidden/>
    <w:unhideWhenUsed/>
    <w:rsid w:val="00891E9C"/>
    <w:rPr>
      <w:vertAlign w:val="superscript"/>
    </w:rPr>
  </w:style>
  <w:style w:type="paragraph" w:customStyle="1" w:styleId="Norml1">
    <w:name w:val="Normál1"/>
    <w:basedOn w:val="Norml"/>
    <w:rsid w:val="000D14A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A05DE4"/>
    <w:pPr>
      <w:ind w:left="720"/>
      <w:contextualSpacing/>
    </w:pPr>
  </w:style>
  <w:style w:type="paragraph" w:styleId="lfej">
    <w:name w:val="header"/>
    <w:basedOn w:val="Norml"/>
    <w:link w:val="lfejChar"/>
    <w:uiPriority w:val="99"/>
    <w:unhideWhenUsed/>
    <w:rsid w:val="006E6D48"/>
    <w:pPr>
      <w:tabs>
        <w:tab w:val="center" w:pos="4536"/>
        <w:tab w:val="right" w:pos="9072"/>
      </w:tabs>
      <w:spacing w:after="0" w:line="240" w:lineRule="auto"/>
    </w:pPr>
  </w:style>
  <w:style w:type="character" w:customStyle="1" w:styleId="lfejChar">
    <w:name w:val="Élőfej Char"/>
    <w:basedOn w:val="Bekezdsalapbettpusa"/>
    <w:link w:val="lfej"/>
    <w:uiPriority w:val="99"/>
    <w:rsid w:val="006E6D48"/>
  </w:style>
  <w:style w:type="paragraph" w:styleId="llb">
    <w:name w:val="footer"/>
    <w:basedOn w:val="Norml"/>
    <w:link w:val="llbChar"/>
    <w:uiPriority w:val="99"/>
    <w:unhideWhenUsed/>
    <w:rsid w:val="006E6D48"/>
    <w:pPr>
      <w:tabs>
        <w:tab w:val="center" w:pos="4536"/>
        <w:tab w:val="right" w:pos="9072"/>
      </w:tabs>
      <w:spacing w:after="0" w:line="240" w:lineRule="auto"/>
    </w:pPr>
  </w:style>
  <w:style w:type="character" w:customStyle="1" w:styleId="llbChar">
    <w:name w:val="Élőláb Char"/>
    <w:basedOn w:val="Bekezdsalapbettpusa"/>
    <w:link w:val="llb"/>
    <w:uiPriority w:val="99"/>
    <w:rsid w:val="006E6D48"/>
  </w:style>
  <w:style w:type="paragraph" w:styleId="Buborkszveg">
    <w:name w:val="Balloon Text"/>
    <w:basedOn w:val="Norml"/>
    <w:link w:val="BuborkszvegChar"/>
    <w:uiPriority w:val="99"/>
    <w:semiHidden/>
    <w:unhideWhenUsed/>
    <w:rsid w:val="00642DD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42DD8"/>
    <w:rPr>
      <w:rFonts w:ascii="Segoe UI" w:hAnsi="Segoe UI" w:cs="Segoe UI"/>
      <w:sz w:val="18"/>
      <w:szCs w:val="18"/>
    </w:rPr>
  </w:style>
  <w:style w:type="character" w:styleId="Jegyzethivatkozs">
    <w:name w:val="annotation reference"/>
    <w:basedOn w:val="Bekezdsalapbettpusa"/>
    <w:uiPriority w:val="99"/>
    <w:semiHidden/>
    <w:unhideWhenUsed/>
    <w:rsid w:val="00DF1B88"/>
    <w:rPr>
      <w:sz w:val="16"/>
      <w:szCs w:val="16"/>
    </w:rPr>
  </w:style>
  <w:style w:type="paragraph" w:styleId="Jegyzetszveg">
    <w:name w:val="annotation text"/>
    <w:basedOn w:val="Norml"/>
    <w:link w:val="JegyzetszvegChar"/>
    <w:uiPriority w:val="99"/>
    <w:semiHidden/>
    <w:unhideWhenUsed/>
    <w:rsid w:val="00DF1B88"/>
    <w:pPr>
      <w:spacing w:line="240" w:lineRule="auto"/>
    </w:pPr>
    <w:rPr>
      <w:sz w:val="20"/>
      <w:szCs w:val="20"/>
    </w:rPr>
  </w:style>
  <w:style w:type="character" w:customStyle="1" w:styleId="JegyzetszvegChar">
    <w:name w:val="Jegyzetszöveg Char"/>
    <w:basedOn w:val="Bekezdsalapbettpusa"/>
    <w:link w:val="Jegyzetszveg"/>
    <w:uiPriority w:val="99"/>
    <w:semiHidden/>
    <w:rsid w:val="00DF1B88"/>
    <w:rPr>
      <w:sz w:val="20"/>
      <w:szCs w:val="20"/>
    </w:rPr>
  </w:style>
  <w:style w:type="paragraph" w:styleId="Megjegyzstrgya">
    <w:name w:val="annotation subject"/>
    <w:basedOn w:val="Jegyzetszveg"/>
    <w:next w:val="Jegyzetszveg"/>
    <w:link w:val="MegjegyzstrgyaChar"/>
    <w:uiPriority w:val="99"/>
    <w:semiHidden/>
    <w:unhideWhenUsed/>
    <w:rsid w:val="00DF1B88"/>
    <w:rPr>
      <w:b/>
      <w:bCs/>
    </w:rPr>
  </w:style>
  <w:style w:type="character" w:customStyle="1" w:styleId="MegjegyzstrgyaChar">
    <w:name w:val="Megjegyzés tárgya Char"/>
    <w:basedOn w:val="JegyzetszvegChar"/>
    <w:link w:val="Megjegyzstrgya"/>
    <w:uiPriority w:val="99"/>
    <w:semiHidden/>
    <w:rsid w:val="00DF1B88"/>
    <w:rPr>
      <w:b/>
      <w:bCs/>
      <w:sz w:val="20"/>
      <w:szCs w:val="20"/>
    </w:rPr>
  </w:style>
  <w:style w:type="character" w:styleId="Hiperhivatkozs">
    <w:name w:val="Hyperlink"/>
    <w:basedOn w:val="Bekezdsalapbettpusa"/>
    <w:uiPriority w:val="99"/>
    <w:unhideWhenUsed/>
    <w:rsid w:val="008D4B8C"/>
    <w:rPr>
      <w:color w:val="0000FF"/>
      <w:u w:val="single"/>
    </w:rPr>
  </w:style>
  <w:style w:type="character" w:customStyle="1" w:styleId="Feloldatlanmegemlts1">
    <w:name w:val="Feloldatlan megemlítés1"/>
    <w:basedOn w:val="Bekezdsalapbettpusa"/>
    <w:uiPriority w:val="99"/>
    <w:semiHidden/>
    <w:unhideWhenUsed/>
    <w:rsid w:val="008D4B8C"/>
    <w:rPr>
      <w:color w:val="605E5C"/>
      <w:shd w:val="clear" w:color="auto" w:fill="E1DFDD"/>
    </w:rPr>
  </w:style>
  <w:style w:type="character" w:customStyle="1" w:styleId="highlight">
    <w:name w:val="highlight"/>
    <w:basedOn w:val="Bekezdsalapbettpusa"/>
    <w:rsid w:val="008D4B8C"/>
  </w:style>
  <w:style w:type="paragraph" w:customStyle="1" w:styleId="ti-art">
    <w:name w:val="ti-art"/>
    <w:basedOn w:val="Norml"/>
    <w:rsid w:val="0097398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i-art">
    <w:name w:val="sti-art"/>
    <w:basedOn w:val="Norml"/>
    <w:rsid w:val="0097398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2">
    <w:name w:val="Normál2"/>
    <w:basedOn w:val="Norml"/>
    <w:rsid w:val="0097398E"/>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24819">
      <w:bodyDiv w:val="1"/>
      <w:marLeft w:val="0"/>
      <w:marRight w:val="0"/>
      <w:marTop w:val="0"/>
      <w:marBottom w:val="0"/>
      <w:divBdr>
        <w:top w:val="none" w:sz="0" w:space="0" w:color="auto"/>
        <w:left w:val="none" w:sz="0" w:space="0" w:color="auto"/>
        <w:bottom w:val="none" w:sz="0" w:space="0" w:color="auto"/>
        <w:right w:val="none" w:sz="0" w:space="0" w:color="auto"/>
      </w:divBdr>
    </w:div>
    <w:div w:id="89012381">
      <w:bodyDiv w:val="1"/>
      <w:marLeft w:val="0"/>
      <w:marRight w:val="0"/>
      <w:marTop w:val="0"/>
      <w:marBottom w:val="0"/>
      <w:divBdr>
        <w:top w:val="none" w:sz="0" w:space="0" w:color="auto"/>
        <w:left w:val="none" w:sz="0" w:space="0" w:color="auto"/>
        <w:bottom w:val="none" w:sz="0" w:space="0" w:color="auto"/>
        <w:right w:val="none" w:sz="0" w:space="0" w:color="auto"/>
      </w:divBdr>
    </w:div>
    <w:div w:id="619534648">
      <w:bodyDiv w:val="1"/>
      <w:marLeft w:val="0"/>
      <w:marRight w:val="0"/>
      <w:marTop w:val="0"/>
      <w:marBottom w:val="0"/>
      <w:divBdr>
        <w:top w:val="none" w:sz="0" w:space="0" w:color="auto"/>
        <w:left w:val="none" w:sz="0" w:space="0" w:color="auto"/>
        <w:bottom w:val="none" w:sz="0" w:space="0" w:color="auto"/>
        <w:right w:val="none" w:sz="0" w:space="0" w:color="auto"/>
      </w:divBdr>
    </w:div>
    <w:div w:id="672874401">
      <w:bodyDiv w:val="1"/>
      <w:marLeft w:val="0"/>
      <w:marRight w:val="0"/>
      <w:marTop w:val="0"/>
      <w:marBottom w:val="0"/>
      <w:divBdr>
        <w:top w:val="none" w:sz="0" w:space="0" w:color="auto"/>
        <w:left w:val="none" w:sz="0" w:space="0" w:color="auto"/>
        <w:bottom w:val="none" w:sz="0" w:space="0" w:color="auto"/>
        <w:right w:val="none" w:sz="0" w:space="0" w:color="auto"/>
      </w:divBdr>
    </w:div>
    <w:div w:id="794327654">
      <w:bodyDiv w:val="1"/>
      <w:marLeft w:val="0"/>
      <w:marRight w:val="0"/>
      <w:marTop w:val="0"/>
      <w:marBottom w:val="0"/>
      <w:divBdr>
        <w:top w:val="none" w:sz="0" w:space="0" w:color="auto"/>
        <w:left w:val="none" w:sz="0" w:space="0" w:color="auto"/>
        <w:bottom w:val="none" w:sz="0" w:space="0" w:color="auto"/>
        <w:right w:val="none" w:sz="0" w:space="0" w:color="auto"/>
      </w:divBdr>
    </w:div>
    <w:div w:id="1138764008">
      <w:bodyDiv w:val="1"/>
      <w:marLeft w:val="0"/>
      <w:marRight w:val="0"/>
      <w:marTop w:val="0"/>
      <w:marBottom w:val="0"/>
      <w:divBdr>
        <w:top w:val="none" w:sz="0" w:space="0" w:color="auto"/>
        <w:left w:val="none" w:sz="0" w:space="0" w:color="auto"/>
        <w:bottom w:val="none" w:sz="0" w:space="0" w:color="auto"/>
        <w:right w:val="none" w:sz="0" w:space="0" w:color="auto"/>
      </w:divBdr>
    </w:div>
    <w:div w:id="1361278866">
      <w:bodyDiv w:val="1"/>
      <w:marLeft w:val="0"/>
      <w:marRight w:val="0"/>
      <w:marTop w:val="0"/>
      <w:marBottom w:val="0"/>
      <w:divBdr>
        <w:top w:val="none" w:sz="0" w:space="0" w:color="auto"/>
        <w:left w:val="none" w:sz="0" w:space="0" w:color="auto"/>
        <w:bottom w:val="none" w:sz="0" w:space="0" w:color="auto"/>
        <w:right w:val="none" w:sz="0" w:space="0" w:color="auto"/>
      </w:divBdr>
    </w:div>
    <w:div w:id="1427195890">
      <w:bodyDiv w:val="1"/>
      <w:marLeft w:val="0"/>
      <w:marRight w:val="0"/>
      <w:marTop w:val="0"/>
      <w:marBottom w:val="0"/>
      <w:divBdr>
        <w:top w:val="none" w:sz="0" w:space="0" w:color="auto"/>
        <w:left w:val="none" w:sz="0" w:space="0" w:color="auto"/>
        <w:bottom w:val="none" w:sz="0" w:space="0" w:color="auto"/>
        <w:right w:val="none" w:sz="0" w:space="0" w:color="auto"/>
      </w:divBdr>
    </w:div>
    <w:div w:id="1753382721">
      <w:bodyDiv w:val="1"/>
      <w:marLeft w:val="0"/>
      <w:marRight w:val="0"/>
      <w:marTop w:val="0"/>
      <w:marBottom w:val="0"/>
      <w:divBdr>
        <w:top w:val="none" w:sz="0" w:space="0" w:color="auto"/>
        <w:left w:val="none" w:sz="0" w:space="0" w:color="auto"/>
        <w:bottom w:val="none" w:sz="0" w:space="0" w:color="auto"/>
        <w:right w:val="none" w:sz="0" w:space="0" w:color="auto"/>
      </w:divBdr>
    </w:div>
    <w:div w:id="203452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332D3-3CF1-49D5-AEC0-FAB6A0B4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2204</Words>
  <Characters>15209</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Kovács Kázmér</dc:creator>
  <cp:keywords/>
  <dc:description/>
  <cp:lastModifiedBy>dr. Nagy Gergő</cp:lastModifiedBy>
  <cp:revision>2</cp:revision>
  <cp:lastPrinted>2019-04-11T15:54:00Z</cp:lastPrinted>
  <dcterms:created xsi:type="dcterms:W3CDTF">2019-04-25T12:52:00Z</dcterms:created>
  <dcterms:modified xsi:type="dcterms:W3CDTF">2019-04-25T12:52:00Z</dcterms:modified>
</cp:coreProperties>
</file>