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9E" w:rsidRPr="007B4E9E" w:rsidRDefault="007B4E9E" w:rsidP="007B4E9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E9E">
        <w:rPr>
          <w:rFonts w:ascii="Times New Roman" w:hAnsi="Times New Roman" w:cs="Times New Roman"/>
          <w:b/>
          <w:bCs/>
          <w:sz w:val="28"/>
          <w:szCs w:val="28"/>
        </w:rPr>
        <w:t>Magyar Ügyvédi Kamara</w:t>
      </w:r>
    </w:p>
    <w:p w:rsidR="007B4E9E" w:rsidRPr="007B4E9E" w:rsidRDefault="007B4E9E" w:rsidP="007B4E9E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E9E">
        <w:rPr>
          <w:rFonts w:ascii="Times New Roman" w:hAnsi="Times New Roman" w:cs="Times New Roman"/>
          <w:b/>
          <w:bCs/>
          <w:sz w:val="28"/>
          <w:szCs w:val="28"/>
        </w:rPr>
        <w:t>Alapszabály-módosítása</w:t>
      </w:r>
      <w:r w:rsidRPr="007B4E9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footnoteReference w:id="1"/>
      </w:r>
    </w:p>
    <w:p w:rsidR="007B4E9E" w:rsidRPr="007B4E9E" w:rsidRDefault="007B4E9E" w:rsidP="007B4E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B4E9E">
        <w:rPr>
          <w:rFonts w:ascii="Times New Roman" w:hAnsi="Times New Roman" w:cs="Times New Roman"/>
          <w:sz w:val="24"/>
          <w:szCs w:val="24"/>
        </w:rPr>
        <w:t>A Magyar Ügyvédi Kamara teljes ülése a Magyar Ügyvédi Kamara Alapszabályát az ügyvédekről szóló 1998. évi XI. törvény 127. § alkalmazásával az alábbiak szerint módosítja:</w:t>
      </w:r>
    </w:p>
    <w:p w:rsidR="007B4E9E" w:rsidRPr="007B4E9E" w:rsidRDefault="007B4E9E" w:rsidP="007B4E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B4E9E">
        <w:rPr>
          <w:rFonts w:ascii="Times New Roman" w:hAnsi="Times New Roman" w:cs="Times New Roman"/>
          <w:sz w:val="24"/>
          <w:szCs w:val="24"/>
        </w:rPr>
        <w:t xml:space="preserve">1. Az Alapszabály IX.1. pontja a következő </w:t>
      </w:r>
      <w:r w:rsidRPr="007B4E9E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7B4E9E">
        <w:rPr>
          <w:rFonts w:ascii="Times New Roman" w:hAnsi="Times New Roman" w:cs="Times New Roman"/>
          <w:sz w:val="24"/>
          <w:szCs w:val="24"/>
        </w:rPr>
        <w:t>ponttal egészül ki:</w:t>
      </w:r>
    </w:p>
    <w:p w:rsidR="007B4E9E" w:rsidRPr="007B4E9E" w:rsidRDefault="007B4E9E" w:rsidP="007B4E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B4E9E">
        <w:rPr>
          <w:rFonts w:ascii="Times New Roman" w:hAnsi="Times New Roman" w:cs="Times New Roman"/>
          <w:sz w:val="24"/>
          <w:szCs w:val="24"/>
        </w:rPr>
        <w:t>„</w:t>
      </w:r>
      <w:r w:rsidRPr="007B4E9E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7B4E9E">
        <w:rPr>
          <w:rFonts w:ascii="Times New Roman" w:hAnsi="Times New Roman" w:cs="Times New Roman"/>
          <w:sz w:val="24"/>
          <w:szCs w:val="24"/>
        </w:rPr>
        <w:t>évente egy alkalommal a Jog Szolgálatában életműdíjat adományozza azon, a 65. életévét betöltött, az ügyvédi, ügyészi, bírói hivatás, illetve alkotmánybírói, jogtudományi munkásság keretében hosszabb időn át kiemelkedő tevékenységet folytató személynek, aki elméleti és/vagy gyakorlati tevékenységével kiemelkedő eredménnyel szolgálta hivatását;”</w:t>
      </w:r>
    </w:p>
    <w:p w:rsidR="007B4E9E" w:rsidRPr="007B4E9E" w:rsidRDefault="007B4E9E" w:rsidP="007B4E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B4E9E">
        <w:rPr>
          <w:rFonts w:ascii="Times New Roman" w:hAnsi="Times New Roman" w:cs="Times New Roman"/>
          <w:sz w:val="24"/>
          <w:szCs w:val="24"/>
        </w:rPr>
        <w:t xml:space="preserve">2. Az Alapszabály IX.1. pontja a következő </w:t>
      </w:r>
      <w:r w:rsidRPr="007B4E9E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7B4E9E">
        <w:rPr>
          <w:rFonts w:ascii="Times New Roman" w:hAnsi="Times New Roman" w:cs="Times New Roman"/>
          <w:sz w:val="24"/>
          <w:szCs w:val="24"/>
        </w:rPr>
        <w:t>ponttal egészül ki:</w:t>
      </w:r>
    </w:p>
    <w:p w:rsidR="007B4E9E" w:rsidRPr="007B4E9E" w:rsidRDefault="007B4E9E" w:rsidP="007B4E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B4E9E">
        <w:rPr>
          <w:rFonts w:ascii="Times New Roman" w:hAnsi="Times New Roman" w:cs="Times New Roman"/>
          <w:sz w:val="24"/>
          <w:szCs w:val="24"/>
        </w:rPr>
        <w:t>„</w:t>
      </w:r>
      <w:r w:rsidRPr="007B4E9E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7B4E9E">
        <w:rPr>
          <w:rFonts w:ascii="Times New Roman" w:hAnsi="Times New Roman" w:cs="Times New Roman"/>
          <w:sz w:val="24"/>
          <w:szCs w:val="24"/>
        </w:rPr>
        <w:t>évente egy alkalommal a Jogi Kultúráért díjat adományozhat az elektronikus és írott médiában a jogi kultúra érdekében hosszabb időn át kiemelkedő tevékenységet folytató azon személynek, aki hozzájárult a jogi tradíciók megőrzéséhez, a jogászi kulturált magatartás és nyelv fejlesztéséhez, a jogkeresők pontos jogi tájékoztatásához.”</w:t>
      </w:r>
    </w:p>
    <w:p w:rsidR="007B4E9E" w:rsidRPr="007B4E9E" w:rsidRDefault="007B4E9E" w:rsidP="007B4E9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7B4E9E">
        <w:rPr>
          <w:rFonts w:ascii="Times New Roman" w:hAnsi="Times New Roman" w:cs="Times New Roman"/>
          <w:sz w:val="24"/>
          <w:szCs w:val="24"/>
        </w:rPr>
        <w:t>3. Az Alapszabály jelen módosítását a Magyar Ügyvédi Kamara teljes ülése 2011. év október hónap 24. napján fogadta el, a Magyar Közlöny Hivatalos Értesítőjében való közzététellel</w:t>
      </w:r>
      <w:r w:rsidRPr="007B4E9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B4E9E">
        <w:rPr>
          <w:rFonts w:ascii="Times New Roman" w:hAnsi="Times New Roman" w:cs="Times New Roman"/>
          <w:sz w:val="24"/>
          <w:szCs w:val="24"/>
        </w:rPr>
        <w:t xml:space="preserve"> lép hatályba.</w:t>
      </w:r>
    </w:p>
    <w:p w:rsidR="007B4E9E" w:rsidRPr="007B4E9E" w:rsidRDefault="007B4E9E" w:rsidP="007B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A86" w:rsidRPr="007B4E9E" w:rsidRDefault="00472A86" w:rsidP="007B4E9E"/>
    <w:sectPr w:rsidR="00472A86" w:rsidRPr="007B4E9E" w:rsidSect="00695FA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99" w:rsidRDefault="001D0E99" w:rsidP="007B4E9E">
      <w:pPr>
        <w:spacing w:after="0" w:line="240" w:lineRule="auto"/>
      </w:pPr>
      <w:r>
        <w:separator/>
      </w:r>
    </w:p>
  </w:endnote>
  <w:endnote w:type="continuationSeparator" w:id="0">
    <w:p w:rsidR="001D0E99" w:rsidRDefault="001D0E99" w:rsidP="007B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99" w:rsidRDefault="001D0E99" w:rsidP="007B4E9E">
      <w:pPr>
        <w:spacing w:after="0" w:line="240" w:lineRule="auto"/>
      </w:pPr>
      <w:r>
        <w:separator/>
      </w:r>
    </w:p>
  </w:footnote>
  <w:footnote w:type="continuationSeparator" w:id="0">
    <w:p w:rsidR="001D0E99" w:rsidRDefault="001D0E99" w:rsidP="007B4E9E">
      <w:pPr>
        <w:spacing w:after="0" w:line="240" w:lineRule="auto"/>
      </w:pPr>
      <w:r>
        <w:continuationSeparator/>
      </w:r>
    </w:p>
  </w:footnote>
  <w:footnote w:id="1">
    <w:p w:rsidR="007B4E9E" w:rsidRDefault="007B4E9E" w:rsidP="007B4E9E">
      <w:r>
        <w:rPr>
          <w:vertAlign w:val="superscript"/>
        </w:rPr>
        <w:footnoteRef/>
      </w:r>
      <w:r>
        <w:t xml:space="preserve"> Megjelent: Hivatalos Értesítő 2012/8.</w:t>
      </w:r>
    </w:p>
  </w:footnote>
  <w:footnote w:id="2">
    <w:p w:rsidR="007B4E9E" w:rsidRDefault="007B4E9E" w:rsidP="007B4E9E">
      <w:r>
        <w:rPr>
          <w:vertAlign w:val="superscript"/>
        </w:rPr>
        <w:footnoteRef/>
      </w:r>
      <w:r>
        <w:t xml:space="preserve"> 2012. II.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66"/>
    <w:rsid w:val="001D0E99"/>
    <w:rsid w:val="00472A86"/>
    <w:rsid w:val="007B4E9E"/>
    <w:rsid w:val="008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0412"/>
  <w15:chartTrackingRefBased/>
  <w15:docId w15:val="{09B99436-49B3-4B02-BD75-BEB9ED3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Bertold Baranyi</cp:lastModifiedBy>
  <cp:revision>1</cp:revision>
  <dcterms:created xsi:type="dcterms:W3CDTF">2020-01-12T07:03:00Z</dcterms:created>
  <dcterms:modified xsi:type="dcterms:W3CDTF">2020-01-12T10:30:00Z</dcterms:modified>
</cp:coreProperties>
</file>