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5C4F" w14:textId="74235245" w:rsidR="001D2B4F" w:rsidRDefault="00A477C7" w:rsidP="00266419">
      <w:pPr>
        <w:spacing w:before="200" w:line="276" w:lineRule="auto"/>
        <w:jc w:val="center"/>
        <w:rPr>
          <w:b/>
        </w:rPr>
      </w:pPr>
      <w:r>
        <w:rPr>
          <w:b/>
        </w:rPr>
        <w:t>16/</w:t>
      </w:r>
      <w:r w:rsidR="007B17D9" w:rsidRPr="007B17D9">
        <w:rPr>
          <w:b/>
        </w:rPr>
        <w:t>2018. (</w:t>
      </w:r>
      <w:r>
        <w:rPr>
          <w:b/>
        </w:rPr>
        <w:t>XI.26.)</w:t>
      </w:r>
      <w:r w:rsidR="007B17D9" w:rsidRPr="007B17D9">
        <w:rPr>
          <w:b/>
        </w:rPr>
        <w:t xml:space="preserve"> MÜK szabályzat</w:t>
      </w:r>
      <w:r w:rsidR="007B17D9" w:rsidRPr="007B17D9">
        <w:rPr>
          <w:b/>
          <w:vertAlign w:val="superscript"/>
        </w:rPr>
        <w:footnoteReference w:id="1"/>
      </w:r>
      <w:r w:rsidR="007B17D9">
        <w:rPr>
          <w:b/>
        </w:rPr>
        <w:br/>
      </w:r>
      <w:r w:rsidR="00F006F3" w:rsidRPr="00F006F3">
        <w:rPr>
          <w:b/>
        </w:rPr>
        <w:t>az ügyvédi tevékenység gyakorlásával összefüggő iratok megőrzéséről</w:t>
      </w:r>
    </w:p>
    <w:p w14:paraId="16EF7DE6" w14:textId="77777777" w:rsidR="008613A4" w:rsidRDefault="00F006F3" w:rsidP="00266419">
      <w:pPr>
        <w:spacing w:before="200" w:line="276" w:lineRule="auto"/>
      </w:pPr>
      <w:r>
        <w:t xml:space="preserve">A Magyar Ügyvédi Kamara küldöttgyűlése az ügyvédi tevékenységről szóló 2017. évi LXXVIII. törvény (a továbbiakban: Üttv.) 158. § (1) bekezdés 16. pontjában foglalt felhatalmazás alapján, </w:t>
      </w:r>
    </w:p>
    <w:p w14:paraId="35F5E53B" w14:textId="77777777" w:rsidR="008613A4" w:rsidRDefault="00F006F3" w:rsidP="00266419">
      <w:pPr>
        <w:spacing w:before="200" w:line="276" w:lineRule="auto"/>
      </w:pPr>
      <w:proofErr w:type="gramStart"/>
      <w:r>
        <w:t>az</w:t>
      </w:r>
      <w:proofErr w:type="gramEnd"/>
      <w:r>
        <w:t xml:space="preserve"> Üttv. 157. § (2) bekezdés e) pontjában foglalt feladatkörében eljárva</w:t>
      </w:r>
      <w:r w:rsidR="008613A4">
        <w:t>,</w:t>
      </w:r>
    </w:p>
    <w:p w14:paraId="14291770" w14:textId="60542275" w:rsidR="008613A4" w:rsidRDefault="008613A4" w:rsidP="00266419">
      <w:pPr>
        <w:spacing w:before="200" w:line="276" w:lineRule="auto"/>
      </w:pPr>
      <w:proofErr w:type="gramStart"/>
      <w:r w:rsidRPr="008613A4">
        <w:t>az</w:t>
      </w:r>
      <w:proofErr w:type="gramEnd"/>
      <w:r w:rsidRPr="008613A4">
        <w:t xml:space="preserve"> Üttv. 156. § (3) bekezdése szerinti feladatkörében eljáró Országos Kamarai Jogtanácsosi Tagozat és Országos Alkalmazott Ügyvédi Tagozat véleményének kikérésével,</w:t>
      </w:r>
      <w:r w:rsidR="00F006F3">
        <w:t xml:space="preserve"> </w:t>
      </w:r>
    </w:p>
    <w:p w14:paraId="6C614C9C" w14:textId="118ACC2F" w:rsidR="008613A4" w:rsidRDefault="008613A4" w:rsidP="00266419">
      <w:pPr>
        <w:spacing w:before="200" w:line="276" w:lineRule="auto"/>
      </w:pPr>
      <w:proofErr w:type="gramStart"/>
      <w:r w:rsidRPr="008613A4">
        <w:t>a</w:t>
      </w:r>
      <w:r>
        <w:t>z</w:t>
      </w:r>
      <w:proofErr w:type="gramEnd"/>
      <w:r w:rsidRPr="008613A4">
        <w:t xml:space="preserve"> </w:t>
      </w:r>
      <w:r>
        <w:t>1</w:t>
      </w:r>
      <w:r w:rsidRPr="008613A4">
        <w:t>.2. pont tekintetében az Üttv. 156. § (3) bekezdése szerinti feladatkörében eljáró Országos Kamarai Jogtanácsosi Tagozat egyetértésével</w:t>
      </w:r>
    </w:p>
    <w:p w14:paraId="069C0CAF" w14:textId="02CF78FE" w:rsidR="001D2B4F" w:rsidRDefault="00F006F3" w:rsidP="00266419">
      <w:pPr>
        <w:spacing w:before="200" w:line="276" w:lineRule="auto"/>
      </w:pPr>
      <w:proofErr w:type="gramStart"/>
      <w:r>
        <w:t>a</w:t>
      </w:r>
      <w:proofErr w:type="gramEnd"/>
      <w:r>
        <w:t xml:space="preserve"> következő szabályzatot alkotja:</w:t>
      </w:r>
    </w:p>
    <w:p w14:paraId="16CB4008" w14:textId="77777777" w:rsidR="001D2B4F" w:rsidRDefault="001769D0" w:rsidP="00266419">
      <w:pPr>
        <w:spacing w:before="200" w:line="276" w:lineRule="auto"/>
        <w:rPr>
          <w:b/>
        </w:rPr>
      </w:pPr>
      <w:r w:rsidRPr="001769D0">
        <w:rPr>
          <w:b/>
        </w:rPr>
        <w:t>1. A szabályzat hatálya</w:t>
      </w:r>
    </w:p>
    <w:p w14:paraId="00530BBF" w14:textId="2B9F3BF0" w:rsidR="00F006F3" w:rsidRDefault="001769D0" w:rsidP="00266419">
      <w:pPr>
        <w:spacing w:before="200" w:line="276" w:lineRule="auto"/>
      </w:pPr>
      <w:r>
        <w:t>1.1. A jelen szabályzat hatálya kiterjed</w:t>
      </w:r>
    </w:p>
    <w:p w14:paraId="0BD1313E" w14:textId="6AB1D328" w:rsidR="007E770F" w:rsidRPr="00F006F3" w:rsidRDefault="007E770F" w:rsidP="00764418">
      <w:pPr>
        <w:spacing w:before="100" w:line="276" w:lineRule="auto"/>
      </w:pPr>
      <w:proofErr w:type="gramStart"/>
      <w:r w:rsidRPr="00F006F3">
        <w:t>a</w:t>
      </w:r>
      <w:proofErr w:type="gramEnd"/>
      <w:r w:rsidRPr="00F006F3">
        <w:t xml:space="preserve">) </w:t>
      </w:r>
      <w:r w:rsidR="00F91B80" w:rsidRPr="00F006F3">
        <w:t>az ügyvéd,</w:t>
      </w:r>
    </w:p>
    <w:p w14:paraId="735AC800" w14:textId="77777777" w:rsidR="007E770F" w:rsidRPr="00F006F3" w:rsidRDefault="007E770F" w:rsidP="00764418">
      <w:pPr>
        <w:spacing w:before="100" w:line="276" w:lineRule="auto"/>
      </w:pPr>
      <w:r w:rsidRPr="00F006F3">
        <w:t xml:space="preserve">b) </w:t>
      </w:r>
      <w:r w:rsidR="00DE23EE" w:rsidRPr="00F006F3">
        <w:t>az ügyvédi iroda,</w:t>
      </w:r>
    </w:p>
    <w:p w14:paraId="7CB795D7" w14:textId="77777777" w:rsidR="007E770F" w:rsidRPr="00F006F3" w:rsidRDefault="007E770F" w:rsidP="00764418">
      <w:pPr>
        <w:spacing w:before="100" w:line="276" w:lineRule="auto"/>
      </w:pPr>
      <w:r w:rsidRPr="00F006F3">
        <w:t xml:space="preserve">c) </w:t>
      </w:r>
      <w:r w:rsidR="00F91B80" w:rsidRPr="00F006F3">
        <w:t>az európai közösségi jogász,</w:t>
      </w:r>
    </w:p>
    <w:p w14:paraId="29FC6466" w14:textId="77777777" w:rsidR="007E770F" w:rsidRPr="00F006F3" w:rsidRDefault="007E770F" w:rsidP="00764418">
      <w:pPr>
        <w:spacing w:before="100" w:line="276" w:lineRule="auto"/>
      </w:pPr>
      <w:r w:rsidRPr="00F006F3">
        <w:t xml:space="preserve">d) </w:t>
      </w:r>
      <w:r w:rsidR="00DE23EE" w:rsidRPr="00F006F3">
        <w:t xml:space="preserve">az európai közösségi jogászi iroda, </w:t>
      </w:r>
      <w:r w:rsidR="00F91B80" w:rsidRPr="00F006F3">
        <w:t xml:space="preserve">valamint </w:t>
      </w:r>
    </w:p>
    <w:p w14:paraId="52A46A4E" w14:textId="77777777" w:rsidR="007E770F" w:rsidRPr="00F006F3" w:rsidRDefault="007E770F" w:rsidP="00764418">
      <w:pPr>
        <w:spacing w:before="100" w:line="276" w:lineRule="auto"/>
      </w:pPr>
      <w:proofErr w:type="gramStart"/>
      <w:r w:rsidRPr="00F006F3">
        <w:t>e</w:t>
      </w:r>
      <w:proofErr w:type="gramEnd"/>
      <w:r w:rsidRPr="00F006F3">
        <w:t xml:space="preserve">) </w:t>
      </w:r>
      <w:r w:rsidR="00F91B80" w:rsidRPr="00F006F3">
        <w:t xml:space="preserve">a külföldi jogi tanácsadó </w:t>
      </w:r>
    </w:p>
    <w:p w14:paraId="31E7FD5F" w14:textId="77777777" w:rsidR="001D2B4F" w:rsidRDefault="00A725E6" w:rsidP="00764418">
      <w:pPr>
        <w:spacing w:before="100" w:line="276" w:lineRule="auto"/>
      </w:pPr>
      <w:r w:rsidRPr="00F006F3">
        <w:t xml:space="preserve">(a továbbiakban együtt: ügyvédi tevékenység gyakorlója) </w:t>
      </w:r>
      <w:r w:rsidR="00187B89">
        <w:t>iratkezelési tevékenységére</w:t>
      </w:r>
      <w:r w:rsidR="001769D0">
        <w:t>.</w:t>
      </w:r>
    </w:p>
    <w:p w14:paraId="0EB3D34D" w14:textId="0E641E38" w:rsidR="001769D0" w:rsidRDefault="001769D0" w:rsidP="00266419">
      <w:pPr>
        <w:spacing w:before="200" w:line="276" w:lineRule="auto"/>
      </w:pPr>
      <w:r>
        <w:t xml:space="preserve">1.2. A jelen szabályzat hatálya </w:t>
      </w:r>
      <w:r w:rsidR="00036DA6">
        <w:t xml:space="preserve">– a 2.3. pont kivételével – </w:t>
      </w:r>
      <w:r w:rsidR="00187B89">
        <w:t>a kamarai jogtanácsos iratkezelési tevékenységére</w:t>
      </w:r>
    </w:p>
    <w:p w14:paraId="69CFFD36" w14:textId="43CCEC11" w:rsidR="001769D0" w:rsidRDefault="001769D0" w:rsidP="00764418">
      <w:pPr>
        <w:spacing w:before="100" w:line="276" w:lineRule="auto"/>
      </w:pPr>
      <w:proofErr w:type="gramStart"/>
      <w:r>
        <w:t>a</w:t>
      </w:r>
      <w:proofErr w:type="gramEnd"/>
      <w:r>
        <w:t xml:space="preserve">) </w:t>
      </w:r>
      <w:proofErr w:type="spellStart"/>
      <w:r w:rsidR="007E770F" w:rsidRPr="00F006F3">
        <w:t>a</w:t>
      </w:r>
      <w:proofErr w:type="spellEnd"/>
      <w:r>
        <w:t xml:space="preserve"> kamarai jogtanácsos </w:t>
      </w:r>
      <w:r w:rsidR="007E770F" w:rsidRPr="00F006F3">
        <w:t>által ellenjegyzett okirat,</w:t>
      </w:r>
    </w:p>
    <w:p w14:paraId="142A7A8B" w14:textId="52104EF4" w:rsidR="001769D0" w:rsidRPr="00F006F3" w:rsidRDefault="001769D0" w:rsidP="00764418">
      <w:pPr>
        <w:spacing w:before="100" w:line="276" w:lineRule="auto"/>
      </w:pPr>
      <w:r>
        <w:t xml:space="preserve">b) a kamarai jogtanácsos által szerkesztett </w:t>
      </w:r>
      <w:r w:rsidRPr="00F006F3">
        <w:t>okirat ellenjegyzésével járó ügyben keletkezett</w:t>
      </w:r>
      <w:r>
        <w:t xml:space="preserve"> irat</w:t>
      </w:r>
      <w:r w:rsidRPr="00F006F3">
        <w:t xml:space="preserve">, </w:t>
      </w:r>
      <w:r>
        <w:t>és</w:t>
      </w:r>
    </w:p>
    <w:p w14:paraId="3CABDE05" w14:textId="3EB8BFEC" w:rsidR="001769D0" w:rsidRDefault="001769D0" w:rsidP="00764418">
      <w:pPr>
        <w:spacing w:before="100" w:line="276" w:lineRule="auto"/>
      </w:pPr>
      <w:r>
        <w:t>c) a kamarai jogt</w:t>
      </w:r>
      <w:r w:rsidR="00036DA6">
        <w:t>a</w:t>
      </w:r>
      <w:r>
        <w:t xml:space="preserve">nácsos által előterjesztett </w:t>
      </w:r>
      <w:r w:rsidRPr="00F006F3">
        <w:t xml:space="preserve">cégbejegyzési, illetve változásbejegyzési kérelem mellékletét képező </w:t>
      </w:r>
      <w:r>
        <w:t>i</w:t>
      </w:r>
      <w:r w:rsidRPr="00F006F3">
        <w:t>rat</w:t>
      </w:r>
    </w:p>
    <w:p w14:paraId="2F66656A" w14:textId="418766B2" w:rsidR="001D2B4F" w:rsidRDefault="00187B89" w:rsidP="00764418">
      <w:pPr>
        <w:spacing w:before="100" w:line="276" w:lineRule="auto"/>
      </w:pPr>
      <w:proofErr w:type="gramStart"/>
      <w:r>
        <w:t>vonatkozásában</w:t>
      </w:r>
      <w:proofErr w:type="gramEnd"/>
      <w:r>
        <w:t xml:space="preserve"> terjed ki, </w:t>
      </w:r>
      <w:r w:rsidR="001769D0">
        <w:t xml:space="preserve">azzal, hogy az azokkal összefüggő kötelezettségeket a kamarai jogtanácsos azon </w:t>
      </w:r>
      <w:r w:rsidR="00613EA9">
        <w:t xml:space="preserve">munkáltatója vagy más </w:t>
      </w:r>
      <w:r w:rsidR="001769D0">
        <w:t>ügyfele útján teljesíti, amelynek az irat az irattári anyagába tartozik.</w:t>
      </w:r>
    </w:p>
    <w:p w14:paraId="5822BF04" w14:textId="66A732A7" w:rsidR="00E177AD" w:rsidRDefault="00E177AD" w:rsidP="00E177AD">
      <w:pPr>
        <w:spacing w:before="100" w:line="276" w:lineRule="auto"/>
      </w:pPr>
      <w:r>
        <w:t xml:space="preserve">1.3. </w:t>
      </w:r>
      <w:r w:rsidR="002E2EB4">
        <w:t xml:space="preserve">E szabályzat alkalmazásában irat az </w:t>
      </w:r>
      <w:r w:rsidR="002E2EB4" w:rsidRPr="002E2EB4">
        <w:t xml:space="preserve">egy egységként kezelendő rögzített információ, </w:t>
      </w:r>
      <w:proofErr w:type="spellStart"/>
      <w:r w:rsidR="002E2EB4" w:rsidRPr="002E2EB4">
        <w:t>adategyüttes</w:t>
      </w:r>
      <w:proofErr w:type="spellEnd"/>
      <w:r w:rsidR="002E2EB4" w:rsidRPr="002E2EB4">
        <w:t xml:space="preserve">, </w:t>
      </w:r>
      <w:r w:rsidR="002E2EB4">
        <w:t xml:space="preserve">függetlenül attól, hogy </w:t>
      </w:r>
      <w:r w:rsidR="002E2EB4" w:rsidRPr="002E2EB4">
        <w:t>papíron, mikrofilmen, mágneses, elektronikus vagy bármilyen más adathordozón</w:t>
      </w:r>
      <w:r w:rsidR="002E2EB4">
        <w:t xml:space="preserve"> jelenik meg, illetve </w:t>
      </w:r>
      <w:r w:rsidR="002E2EB4" w:rsidRPr="002E2EB4">
        <w:t>szöveg</w:t>
      </w:r>
      <w:r w:rsidR="002E2EB4">
        <w:t>et</w:t>
      </w:r>
      <w:r w:rsidR="002E2EB4" w:rsidRPr="002E2EB4">
        <w:t>, adat</w:t>
      </w:r>
      <w:r w:rsidR="002E2EB4">
        <w:t>ot</w:t>
      </w:r>
      <w:r w:rsidR="002E2EB4" w:rsidRPr="002E2EB4">
        <w:t>, grafikon</w:t>
      </w:r>
      <w:r w:rsidR="002E2EB4">
        <w:t>t</w:t>
      </w:r>
      <w:r w:rsidR="002E2EB4" w:rsidRPr="002E2EB4">
        <w:t>, hang</w:t>
      </w:r>
      <w:r w:rsidR="002E2EB4">
        <w:t>ot</w:t>
      </w:r>
      <w:r w:rsidR="002E2EB4" w:rsidRPr="002E2EB4">
        <w:t>, kép</w:t>
      </w:r>
      <w:r w:rsidR="002E2EB4">
        <w:t>et</w:t>
      </w:r>
      <w:r w:rsidR="002E2EB4" w:rsidRPr="002E2EB4">
        <w:t>, mozgókép</w:t>
      </w:r>
      <w:r w:rsidR="002E2EB4">
        <w:t xml:space="preserve">et vagy </w:t>
      </w:r>
      <w:r w:rsidR="002E2EB4" w:rsidRPr="002E2EB4">
        <w:t>más formában lévő információ</w:t>
      </w:r>
      <w:r w:rsidR="002E2EB4">
        <w:t>t</w:t>
      </w:r>
      <w:r w:rsidR="002E2EB4" w:rsidRPr="002E2EB4">
        <w:t xml:space="preserve"> </w:t>
      </w:r>
      <w:r w:rsidR="002E2EB4">
        <w:t>tartalmaz</w:t>
      </w:r>
      <w:r>
        <w:t>.</w:t>
      </w:r>
    </w:p>
    <w:p w14:paraId="6154F8ED" w14:textId="77777777" w:rsidR="001D2B4F" w:rsidRDefault="001769D0" w:rsidP="00266419">
      <w:pPr>
        <w:spacing w:before="200" w:line="276" w:lineRule="auto"/>
        <w:rPr>
          <w:b/>
        </w:rPr>
      </w:pPr>
      <w:r w:rsidRPr="001769D0">
        <w:rPr>
          <w:b/>
        </w:rPr>
        <w:t>2. Az iratmegőrzési kötelezettség</w:t>
      </w:r>
    </w:p>
    <w:p w14:paraId="5D52F0D3" w14:textId="77777777" w:rsidR="001D2B4F" w:rsidRDefault="00036DA6" w:rsidP="00266419">
      <w:pPr>
        <w:spacing w:before="200" w:line="276" w:lineRule="auto"/>
      </w:pPr>
      <w:r>
        <w:lastRenderedPageBreak/>
        <w:t xml:space="preserve">2.1. </w:t>
      </w:r>
      <w:r w:rsidR="001769D0" w:rsidRPr="00F006F3">
        <w:t xml:space="preserve">Az ügyvédi tevékenység gyakorlója </w:t>
      </w:r>
      <w:r>
        <w:t xml:space="preserve">az e tevékenységével összefüggésben </w:t>
      </w:r>
      <w:r w:rsidR="001769D0" w:rsidRPr="00F006F3">
        <w:t>által</w:t>
      </w:r>
      <w:r>
        <w:t>a</w:t>
      </w:r>
      <w:r w:rsidR="001769D0" w:rsidRPr="00F006F3">
        <w:t xml:space="preserve"> kezelt irat</w:t>
      </w:r>
      <w:r>
        <w:t xml:space="preserve">ot </w:t>
      </w:r>
      <w:r w:rsidR="001769D0" w:rsidRPr="00F006F3">
        <w:t>jogszabályban,</w:t>
      </w:r>
      <w:r>
        <w:t xml:space="preserve"> ennek hiányában a jelen </w:t>
      </w:r>
      <w:r w:rsidR="001769D0" w:rsidRPr="00F006F3">
        <w:t>szabályzatban</w:t>
      </w:r>
      <w:r>
        <w:t xml:space="preserve"> meghatározott ideig megőrzi.</w:t>
      </w:r>
    </w:p>
    <w:p w14:paraId="28EF32B6" w14:textId="4F2C4631" w:rsidR="001D2B4F" w:rsidRDefault="00036DA6" w:rsidP="00266419">
      <w:pPr>
        <w:spacing w:before="200" w:line="276" w:lineRule="auto"/>
      </w:pPr>
      <w:r>
        <w:t xml:space="preserve">2.2. Az ügyvédi tevékenység gyakorlója és az ügyfél az </w:t>
      </w:r>
      <w:r w:rsidR="00977BD2">
        <w:t>2.</w:t>
      </w:r>
      <w:r>
        <w:t>1. pontban meghatározottnál hosszabb megőrzési időben is megállapodhatnak.</w:t>
      </w:r>
    </w:p>
    <w:p w14:paraId="1B848C5D" w14:textId="51EDC018" w:rsidR="00036DA6" w:rsidRDefault="00036DA6" w:rsidP="00266419">
      <w:pPr>
        <w:spacing w:before="200" w:line="276" w:lineRule="auto"/>
      </w:pPr>
      <w:r>
        <w:t>2.3. Az ügyvédi tevékenység gyakorlója az iratmegőrzési kötelezettségét</w:t>
      </w:r>
    </w:p>
    <w:p w14:paraId="47098AE0" w14:textId="399EA509" w:rsidR="00036DA6" w:rsidRDefault="00036DA6" w:rsidP="00764418">
      <w:pPr>
        <w:spacing w:before="100" w:line="276" w:lineRule="auto"/>
      </w:pPr>
      <w:proofErr w:type="gramStart"/>
      <w:r>
        <w:t>a</w:t>
      </w:r>
      <w:proofErr w:type="gramEnd"/>
      <w:r>
        <w:t xml:space="preserve">) az irodájában, </w:t>
      </w:r>
      <w:proofErr w:type="spellStart"/>
      <w:r>
        <w:t>alirodájában</w:t>
      </w:r>
      <w:proofErr w:type="spellEnd"/>
      <w:r>
        <w:t xml:space="preserve"> vagy fiókirodájában való tárolással,</w:t>
      </w:r>
    </w:p>
    <w:p w14:paraId="3147B3CA" w14:textId="19B5EBFF" w:rsidR="00036DA6" w:rsidRDefault="00036DA6" w:rsidP="00764418">
      <w:pPr>
        <w:spacing w:before="100" w:line="276" w:lineRule="auto"/>
      </w:pPr>
      <w:r>
        <w:t>b) az Üttv. 16. § (5) bekezdése szerinti irattárban való tárolással,</w:t>
      </w:r>
    </w:p>
    <w:p w14:paraId="162E162D" w14:textId="708DA6E8" w:rsidR="00036DA6" w:rsidRDefault="00036DA6" w:rsidP="00764418">
      <w:pPr>
        <w:spacing w:before="100" w:line="276" w:lineRule="auto"/>
      </w:pPr>
      <w:r>
        <w:t xml:space="preserve">c) a kamarai tagsága megszűnése, </w:t>
      </w:r>
      <w:r w:rsidRPr="00036DA6">
        <w:rPr>
          <w:rFonts w:cs="Times New Roman"/>
          <w:szCs w:val="24"/>
        </w:rPr>
        <w:t xml:space="preserve">az ügyvédi kamarai nyilvántartásból </w:t>
      </w:r>
      <w:r>
        <w:rPr>
          <w:rFonts w:cs="Times New Roman"/>
          <w:szCs w:val="24"/>
        </w:rPr>
        <w:t xml:space="preserve">való törlése, az </w:t>
      </w:r>
      <w:r w:rsidRPr="00036DA6">
        <w:rPr>
          <w:rFonts w:cs="Times New Roman"/>
          <w:szCs w:val="24"/>
        </w:rPr>
        <w:t>ügyvédi tevékenység</w:t>
      </w:r>
      <w:r w:rsidR="00764418">
        <w:rPr>
          <w:rFonts w:cs="Times New Roman"/>
          <w:szCs w:val="24"/>
        </w:rPr>
        <w:t>e</w:t>
      </w:r>
      <w:r w:rsidRPr="00036DA6">
        <w:rPr>
          <w:rFonts w:cs="Times New Roman"/>
          <w:szCs w:val="24"/>
        </w:rPr>
        <w:t xml:space="preserve"> gyakorlásá</w:t>
      </w:r>
      <w:r>
        <w:rPr>
          <w:rFonts w:cs="Times New Roman"/>
          <w:szCs w:val="24"/>
        </w:rPr>
        <w:t xml:space="preserve">nak </w:t>
      </w:r>
      <w:r w:rsidRPr="00036DA6">
        <w:rPr>
          <w:rFonts w:cs="Times New Roman"/>
          <w:szCs w:val="24"/>
        </w:rPr>
        <w:t>felfüggeszt</w:t>
      </w:r>
      <w:r w:rsidR="00D87F2E">
        <w:rPr>
          <w:rFonts w:cs="Times New Roman"/>
          <w:szCs w:val="24"/>
        </w:rPr>
        <w:t xml:space="preserve">ése, illetve az </w:t>
      </w:r>
      <w:r w:rsidRPr="00036DA6">
        <w:rPr>
          <w:rFonts w:cs="Times New Roman"/>
          <w:szCs w:val="24"/>
        </w:rPr>
        <w:t>ügyvédi tevékenység szüneteltet</w:t>
      </w:r>
      <w:r w:rsidR="00D87F2E">
        <w:rPr>
          <w:rFonts w:cs="Times New Roman"/>
          <w:szCs w:val="24"/>
        </w:rPr>
        <w:t xml:space="preserve">ése </w:t>
      </w:r>
      <w:r w:rsidR="00977BD2">
        <w:rPr>
          <w:rFonts w:cs="Times New Roman"/>
          <w:szCs w:val="24"/>
        </w:rPr>
        <w:t xml:space="preserve">esetén </w:t>
      </w:r>
      <w:r w:rsidR="00764418">
        <w:rPr>
          <w:rFonts w:cs="Times New Roman"/>
          <w:szCs w:val="24"/>
        </w:rPr>
        <w:t xml:space="preserve">az </w:t>
      </w:r>
      <w:r>
        <w:t>ügyvéd</w:t>
      </w:r>
      <w:r w:rsidR="00D87F2E">
        <w:t>i tevékenység</w:t>
      </w:r>
      <w:r w:rsidR="00764418">
        <w:t xml:space="preserve"> másik </w:t>
      </w:r>
      <w:r w:rsidR="00D87F2E">
        <w:t>gyakorló</w:t>
      </w:r>
      <w:r w:rsidR="00764418">
        <w:t>jánál</w:t>
      </w:r>
      <w:r w:rsidR="00D87F2E">
        <w:t xml:space="preserve"> </w:t>
      </w:r>
      <w:r>
        <w:t>való elhelyezéssel,</w:t>
      </w:r>
      <w:r w:rsidR="00285ABB">
        <w:t xml:space="preserve"> vagy</w:t>
      </w:r>
    </w:p>
    <w:p w14:paraId="2E72A332" w14:textId="137C5D1B" w:rsidR="00036DA6" w:rsidRDefault="00036DA6" w:rsidP="00764418">
      <w:pPr>
        <w:spacing w:before="100" w:line="276" w:lineRule="auto"/>
      </w:pPr>
      <w:r>
        <w:t xml:space="preserve">d) az ügyvédi levéltárban </w:t>
      </w:r>
      <w:r w:rsidR="002A1E3A">
        <w:t xml:space="preserve">– a levéltár által meghatározott feltételek szerint – </w:t>
      </w:r>
      <w:r>
        <w:t>való elhelyezéssel</w:t>
      </w:r>
    </w:p>
    <w:p w14:paraId="7234A5EE" w14:textId="77777777" w:rsidR="001D2B4F" w:rsidRDefault="00036DA6" w:rsidP="00764418">
      <w:pPr>
        <w:spacing w:before="100" w:line="276" w:lineRule="auto"/>
      </w:pPr>
      <w:proofErr w:type="gramStart"/>
      <w:r>
        <w:t>teljesíti</w:t>
      </w:r>
      <w:proofErr w:type="gramEnd"/>
      <w:r>
        <w:t>.</w:t>
      </w:r>
    </w:p>
    <w:p w14:paraId="5798AD20" w14:textId="1DF6C39B" w:rsidR="001D2B4F" w:rsidRDefault="00B07836" w:rsidP="00266419">
      <w:pPr>
        <w:spacing w:before="200" w:line="276" w:lineRule="auto"/>
      </w:pPr>
      <w:r>
        <w:t xml:space="preserve">2.4. </w:t>
      </w:r>
      <w:r w:rsidR="00285ABB">
        <w:t xml:space="preserve">Ha az ügyvédi tevékenység gyakorlója a papíralapú iratot </w:t>
      </w:r>
      <w:r w:rsidR="00285ABB" w:rsidRPr="00F006F3">
        <w:t>az Üttv. 46. §</w:t>
      </w:r>
      <w:r w:rsidR="00285ABB">
        <w:t xml:space="preserve"> (1)-(3) bekezdése </w:t>
      </w:r>
      <w:r w:rsidR="00285ABB" w:rsidRPr="00F006F3">
        <w:t>szerint elektronikus okirati formába alakítja</w:t>
      </w:r>
      <w:r w:rsidR="00285ABB">
        <w:t xml:space="preserve">, az iratmegőrzési kötelezettségét </w:t>
      </w:r>
      <w:r w:rsidR="00764418">
        <w:t>a</w:t>
      </w:r>
      <w:r w:rsidR="00285ABB">
        <w:t xml:space="preserve"> továbbiakban – az Üttv. 46. § (6) bekezdésében</w:t>
      </w:r>
      <w:r w:rsidR="00455734">
        <w:t xml:space="preserve">, </w:t>
      </w:r>
      <w:r w:rsidR="00285ABB">
        <w:t xml:space="preserve">a </w:t>
      </w:r>
      <w:r w:rsidR="00455734">
        <w:t>3.1.-</w:t>
      </w:r>
      <w:r w:rsidR="00285ABB">
        <w:t xml:space="preserve">3.2. pontban </w:t>
      </w:r>
      <w:r w:rsidR="00455734">
        <w:t xml:space="preserve">és a 3.3. pont b) alpontjában </w:t>
      </w:r>
      <w:r w:rsidR="00285ABB">
        <w:t>meghatározott</w:t>
      </w:r>
      <w:r w:rsidR="00455734">
        <w:t>ak</w:t>
      </w:r>
      <w:r w:rsidR="00285ABB">
        <w:t xml:space="preserve"> kivétel</w:t>
      </w:r>
      <w:r w:rsidR="00674052">
        <w:t>év</w:t>
      </w:r>
      <w:r w:rsidR="00285ABB">
        <w:t>el – az elektronikus okirat vonatkozásában teljesíti.</w:t>
      </w:r>
    </w:p>
    <w:p w14:paraId="244A629D" w14:textId="77777777" w:rsidR="001D2B4F" w:rsidRDefault="00C90B7C" w:rsidP="00266419">
      <w:pPr>
        <w:spacing w:before="200" w:line="276" w:lineRule="auto"/>
      </w:pPr>
      <w:r>
        <w:t>2.5. Az ügyvédi tevékenység gyakorlója, illetve a 2.3. pont c) alpontja szerinti esetben az iratot kezelő ügyvéd vagy ügyvédi iroda, továbbá a 2.3. pont d) alpontja szerinti esetben az ügyvédi levéltár a cégbíróság felhívására nyolc napon belül gondoskodik az eredeti irat bemutatásáról.</w:t>
      </w:r>
    </w:p>
    <w:p w14:paraId="639A1E3A" w14:textId="77777777" w:rsidR="001D2B4F" w:rsidRDefault="00D87F2E" w:rsidP="00266419">
      <w:pPr>
        <w:spacing w:before="200" w:line="276" w:lineRule="auto"/>
        <w:rPr>
          <w:b/>
        </w:rPr>
      </w:pPr>
      <w:r w:rsidRPr="00492247">
        <w:rPr>
          <w:b/>
        </w:rPr>
        <w:t>3. Az egyes iratokra vonatkozó megőrzési idő</w:t>
      </w:r>
    </w:p>
    <w:p w14:paraId="3DF52806" w14:textId="41DC5A45" w:rsidR="001D2B4F" w:rsidRDefault="00492247" w:rsidP="00266419">
      <w:pPr>
        <w:spacing w:before="200" w:line="276" w:lineRule="auto"/>
      </w:pPr>
      <w:r>
        <w:t>3.1.</w:t>
      </w:r>
      <w:r w:rsidRPr="00492247">
        <w:t xml:space="preserve"> </w:t>
      </w:r>
      <w:r>
        <w:t>A</w:t>
      </w:r>
      <w:r w:rsidRPr="00F006F3">
        <w:t>z ügyvéd által szerkesztett végintézkedés</w:t>
      </w:r>
      <w:r>
        <w:t>t</w:t>
      </w:r>
      <w:r w:rsidRPr="00F006F3">
        <w:t xml:space="preserve">, </w:t>
      </w:r>
      <w:r>
        <w:t xml:space="preserve">valamint az </w:t>
      </w:r>
      <w:r w:rsidRPr="00F006F3">
        <w:t xml:space="preserve">öröklési jogviszonnyal kapcsolatos jognyilatkozatot tartalmazó </w:t>
      </w:r>
      <w:r>
        <w:t xml:space="preserve">más </w:t>
      </w:r>
      <w:r w:rsidRPr="00F006F3">
        <w:t>okirat</w:t>
      </w:r>
      <w:r>
        <w:t>ot</w:t>
      </w:r>
      <w:r w:rsidR="00707929">
        <w:t>, illetve az ezekhez kapcsolódóan az ügyvédi tevékenység gyakorlója által kezelt más iratot</w:t>
      </w:r>
      <w:r>
        <w:t xml:space="preserve"> az örökhagyó hagyatékára vonatkozó teljes hatályú hagyatékátadó végzés jogerőre emelkedését követő </w:t>
      </w:r>
      <w:r w:rsidR="00870597">
        <w:t>öt</w:t>
      </w:r>
      <w:r>
        <w:t xml:space="preserve"> évig kell megőrizni.</w:t>
      </w:r>
    </w:p>
    <w:p w14:paraId="73F2CC1C" w14:textId="77777777" w:rsidR="001D2B4F" w:rsidRDefault="00D87F2E" w:rsidP="00266419">
      <w:pPr>
        <w:spacing w:before="200" w:line="276" w:lineRule="auto"/>
      </w:pPr>
      <w:r>
        <w:t>3.</w:t>
      </w:r>
      <w:r w:rsidR="00492247">
        <w:t>2</w:t>
      </w:r>
      <w:r>
        <w:t xml:space="preserve">. </w:t>
      </w:r>
      <w:r w:rsidRPr="00F006F3">
        <w:t>Az okirat ellenjegyzésével nem járó ügyben az ügyvéd által benyújtott cégbejegyzési és változásbejegyzési kérelem mellékletét képező irat</w:t>
      </w:r>
      <w:r>
        <w:t>ot a</w:t>
      </w:r>
      <w:r w:rsidRPr="00F006F3">
        <w:t xml:space="preserve"> kérelem benyújtását</w:t>
      </w:r>
      <w:r>
        <w:t xml:space="preserve">ól számított tíz évig </w:t>
      </w:r>
      <w:r w:rsidR="00492247">
        <w:t>kell megőrizni</w:t>
      </w:r>
      <w:r>
        <w:t>.</w:t>
      </w:r>
    </w:p>
    <w:p w14:paraId="433C5D18" w14:textId="010D3D3C" w:rsidR="00D87F2E" w:rsidRPr="00F006F3" w:rsidRDefault="00D87F2E" w:rsidP="00266419">
      <w:pPr>
        <w:spacing w:before="200" w:line="276" w:lineRule="auto"/>
      </w:pPr>
      <w:r w:rsidRPr="00F006F3">
        <w:t>3</w:t>
      </w:r>
      <w:r>
        <w:t>.</w:t>
      </w:r>
      <w:r w:rsidR="00492247">
        <w:t>3</w:t>
      </w:r>
      <w:r>
        <w:t xml:space="preserve">. </w:t>
      </w:r>
      <w:r w:rsidRPr="00F006F3">
        <w:t>A büntetőeljárásban, peres, hatósági vagy más közhatalmi eljárásban keletkezett vagy felhasznált iratok közül</w:t>
      </w:r>
    </w:p>
    <w:p w14:paraId="298075C0" w14:textId="44B7D4A5" w:rsidR="00D87F2E" w:rsidRDefault="00D87F2E" w:rsidP="003E3945">
      <w:pPr>
        <w:spacing w:before="100" w:line="276" w:lineRule="auto"/>
      </w:pPr>
      <w:proofErr w:type="gramStart"/>
      <w:r w:rsidRPr="00F006F3">
        <w:t>a</w:t>
      </w:r>
      <w:proofErr w:type="gramEnd"/>
      <w:r w:rsidRPr="00F006F3">
        <w:t>) az ügy érdemében hozott határozat</w:t>
      </w:r>
      <w:r w:rsidR="00492247">
        <w:t>ot, illetve végzést</w:t>
      </w:r>
      <w:r w:rsidR="00455734">
        <w:t xml:space="preserve"> </w:t>
      </w:r>
      <w:r w:rsidR="00492247" w:rsidRPr="00F006F3">
        <w:t xml:space="preserve">az eljárás jogerős vagy végleges </w:t>
      </w:r>
      <w:proofErr w:type="spellStart"/>
      <w:r w:rsidR="00492247" w:rsidRPr="00F006F3">
        <w:t>lezárultát</w:t>
      </w:r>
      <w:proofErr w:type="spellEnd"/>
      <w:r w:rsidR="00492247" w:rsidRPr="00F006F3">
        <w:t xml:space="preserve"> követő öt év</w:t>
      </w:r>
      <w:r w:rsidR="00492247">
        <w:t>ig,</w:t>
      </w:r>
    </w:p>
    <w:p w14:paraId="6C34F27D" w14:textId="1EBAC4DD" w:rsidR="00455734" w:rsidRPr="00F006F3" w:rsidRDefault="00455734" w:rsidP="003E3945">
      <w:pPr>
        <w:spacing w:before="100" w:line="276" w:lineRule="auto"/>
      </w:pPr>
      <w:r>
        <w:t>b</w:t>
      </w:r>
      <w:r w:rsidRPr="00F006F3">
        <w:t>) az eljárással összefüggésben kezelt olyan irat</w:t>
      </w:r>
      <w:r>
        <w:t>ot</w:t>
      </w:r>
      <w:r w:rsidRPr="00F006F3">
        <w:t>, amely az eljáró bíróság, hatóság vagy más közhatalmi szerv kezelésében nem található meg,</w:t>
      </w:r>
      <w:r>
        <w:t xml:space="preserve"> </w:t>
      </w:r>
      <w:r w:rsidRPr="00F006F3">
        <w:t xml:space="preserve">az eljárás jogerős vagy végleges </w:t>
      </w:r>
      <w:proofErr w:type="spellStart"/>
      <w:r w:rsidRPr="00F006F3">
        <w:t>lezárultát</w:t>
      </w:r>
      <w:proofErr w:type="spellEnd"/>
      <w:r w:rsidRPr="00F006F3">
        <w:t xml:space="preserve"> követő öt év</w:t>
      </w:r>
      <w:r>
        <w:t>ig,</w:t>
      </w:r>
    </w:p>
    <w:p w14:paraId="01D6B847" w14:textId="075C38E7" w:rsidR="00492247" w:rsidRDefault="00455734" w:rsidP="003E3945">
      <w:pPr>
        <w:spacing w:before="100" w:line="276" w:lineRule="auto"/>
      </w:pPr>
      <w:r>
        <w:t>c</w:t>
      </w:r>
      <w:r w:rsidR="00D87F2E" w:rsidRPr="00F006F3">
        <w:t>) az a)</w:t>
      </w:r>
      <w:proofErr w:type="spellStart"/>
      <w:r>
        <w:t>-b</w:t>
      </w:r>
      <w:proofErr w:type="spellEnd"/>
      <w:r>
        <w:t>)</w:t>
      </w:r>
      <w:r w:rsidR="00D87F2E" w:rsidRPr="00F006F3">
        <w:t xml:space="preserve"> alpont hatálya alá nem tartozó irat</w:t>
      </w:r>
      <w:r w:rsidR="00492247">
        <w:t>ot</w:t>
      </w:r>
      <w:r w:rsidR="00D87F2E" w:rsidRPr="00F006F3">
        <w:t xml:space="preserve"> az eljárás jogerős vagy végleges </w:t>
      </w:r>
      <w:proofErr w:type="spellStart"/>
      <w:r w:rsidR="00D87F2E" w:rsidRPr="00F006F3">
        <w:t>lezárultát</w:t>
      </w:r>
      <w:proofErr w:type="spellEnd"/>
      <w:r w:rsidR="00D87F2E" w:rsidRPr="00F006F3">
        <w:t xml:space="preserve"> követő egy év</w:t>
      </w:r>
      <w:r w:rsidR="00492247">
        <w:t>ig</w:t>
      </w:r>
    </w:p>
    <w:p w14:paraId="78E57A1C" w14:textId="77777777" w:rsidR="001D2B4F" w:rsidRDefault="00492247" w:rsidP="003E3945">
      <w:pPr>
        <w:spacing w:before="100" w:line="276" w:lineRule="auto"/>
      </w:pPr>
      <w:proofErr w:type="gramStart"/>
      <w:r>
        <w:t>kell</w:t>
      </w:r>
      <w:proofErr w:type="gramEnd"/>
      <w:r>
        <w:t xml:space="preserve"> megőrizni.</w:t>
      </w:r>
    </w:p>
    <w:p w14:paraId="5B0DC84F" w14:textId="77777777" w:rsidR="001D2B4F" w:rsidRDefault="00C90B7C" w:rsidP="00266419">
      <w:pPr>
        <w:spacing w:before="200" w:line="276" w:lineRule="auto"/>
      </w:pPr>
      <w:r>
        <w:lastRenderedPageBreak/>
        <w:t>3.4. Az ügyvédi letétbe vett iratot a letéti szerződés megszűnéséig kell megőrizni.</w:t>
      </w:r>
    </w:p>
    <w:p w14:paraId="236C967F" w14:textId="168A849A" w:rsidR="00D87F2E" w:rsidRPr="00F006F3" w:rsidRDefault="00492247" w:rsidP="00266419">
      <w:pPr>
        <w:spacing w:before="200" w:line="276" w:lineRule="auto"/>
      </w:pPr>
      <w:r>
        <w:t>3.</w:t>
      </w:r>
      <w:r w:rsidR="00C90B7C">
        <w:t>5</w:t>
      </w:r>
      <w:r>
        <w:t xml:space="preserve">. </w:t>
      </w:r>
      <w:r w:rsidR="00D87F2E" w:rsidRPr="00F006F3">
        <w:t>Az ügyvéd</w:t>
      </w:r>
      <w:r w:rsidR="00285ABB">
        <w:t xml:space="preserve">i tevékenység gyakorlója </w:t>
      </w:r>
      <w:r w:rsidR="00D87F2E" w:rsidRPr="00F006F3">
        <w:t>által kötött</w:t>
      </w:r>
    </w:p>
    <w:p w14:paraId="17D6489A" w14:textId="3FF8E1D9" w:rsidR="00D87F2E" w:rsidRPr="00F006F3" w:rsidRDefault="00D87F2E" w:rsidP="003E3945">
      <w:pPr>
        <w:spacing w:before="100" w:line="276" w:lineRule="auto"/>
      </w:pPr>
      <w:proofErr w:type="gramStart"/>
      <w:r w:rsidRPr="00F006F3">
        <w:t>a</w:t>
      </w:r>
      <w:proofErr w:type="gramEnd"/>
      <w:r w:rsidRPr="00F006F3">
        <w:t>) megbízási szerződés</w:t>
      </w:r>
      <w:r w:rsidR="00285ABB">
        <w:t>t</w:t>
      </w:r>
      <w:r w:rsidRPr="00F006F3">
        <w:t xml:space="preserve"> az abból fakadó jogosultságok elévülésé</w:t>
      </w:r>
      <w:r w:rsidR="00285ABB">
        <w:t>ig</w:t>
      </w:r>
      <w:r w:rsidRPr="00F006F3">
        <w:t>,</w:t>
      </w:r>
    </w:p>
    <w:p w14:paraId="1987D916" w14:textId="77777777" w:rsidR="00285ABB" w:rsidRDefault="00D87F2E" w:rsidP="003E3945">
      <w:pPr>
        <w:spacing w:before="100" w:line="276" w:lineRule="auto"/>
      </w:pPr>
      <w:r w:rsidRPr="00F006F3">
        <w:t>b) letéti szerződés</w:t>
      </w:r>
      <w:r w:rsidR="00285ABB">
        <w:t>t</w:t>
      </w:r>
      <w:r w:rsidRPr="00F006F3">
        <w:t xml:space="preserve"> a</w:t>
      </w:r>
      <w:r w:rsidR="00285ABB">
        <w:t>z annak</w:t>
      </w:r>
      <w:r w:rsidRPr="00F006F3">
        <w:t xml:space="preserve"> megszűnését követő tíz év</w:t>
      </w:r>
      <w:r w:rsidR="00285ABB">
        <w:t>ig</w:t>
      </w:r>
    </w:p>
    <w:p w14:paraId="7FDE95DC" w14:textId="77777777" w:rsidR="001D2B4F" w:rsidRDefault="00285ABB" w:rsidP="003E3945">
      <w:pPr>
        <w:spacing w:before="100" w:line="276" w:lineRule="auto"/>
      </w:pPr>
      <w:proofErr w:type="gramStart"/>
      <w:r>
        <w:t>kell</w:t>
      </w:r>
      <w:proofErr w:type="gramEnd"/>
      <w:r>
        <w:t xml:space="preserve"> megőrizni.</w:t>
      </w:r>
    </w:p>
    <w:p w14:paraId="34837957" w14:textId="77777777" w:rsidR="001D2B4F" w:rsidRDefault="00285ABB" w:rsidP="00266419">
      <w:pPr>
        <w:spacing w:before="200" w:line="276" w:lineRule="auto"/>
      </w:pPr>
      <w:r>
        <w:t>3.</w:t>
      </w:r>
      <w:r w:rsidR="00C90B7C">
        <w:t>6</w:t>
      </w:r>
      <w:r>
        <w:t xml:space="preserve">. </w:t>
      </w:r>
      <w:r w:rsidR="00D87F2E" w:rsidRPr="00F006F3">
        <w:t>Az ügyvéd</w:t>
      </w:r>
      <w:r>
        <w:t xml:space="preserve">i tevékenység gyakorlója által </w:t>
      </w:r>
      <w:r w:rsidR="00D87F2E" w:rsidRPr="00F006F3">
        <w:t>jogszabály alapján vezetett nyilvántartás</w:t>
      </w:r>
      <w:r>
        <w:t xml:space="preserve">t </w:t>
      </w:r>
      <w:r w:rsidR="00707929">
        <w:t xml:space="preserve">addig kell megőrizni, amíg </w:t>
      </w:r>
      <w:r w:rsidR="00D87F2E" w:rsidRPr="00F006F3">
        <w:t>a nyilvántartás részét képező valamennyi adat kezelésének határideje el</w:t>
      </w:r>
      <w:r w:rsidR="00707929">
        <w:t xml:space="preserve"> nem </w:t>
      </w:r>
      <w:r w:rsidR="00D87F2E" w:rsidRPr="00F006F3">
        <w:t>telt.</w:t>
      </w:r>
    </w:p>
    <w:p w14:paraId="62C72892" w14:textId="7789991F" w:rsidR="001D2B4F" w:rsidRDefault="00E64C3B" w:rsidP="00266419">
      <w:pPr>
        <w:spacing w:before="200" w:line="276" w:lineRule="auto"/>
      </w:pPr>
      <w:r>
        <w:t>3.</w:t>
      </w:r>
      <w:r w:rsidR="007320BD">
        <w:t>7</w:t>
      </w:r>
      <w:r>
        <w:t xml:space="preserve">. </w:t>
      </w:r>
      <w:r w:rsidR="00455734">
        <w:t>A 3.1.-3.</w:t>
      </w:r>
      <w:r w:rsidR="007320BD">
        <w:t>6</w:t>
      </w:r>
      <w:r w:rsidR="00455734">
        <w:t>. pont hatálya alá nem tartozó iratot – ha jogszabály vagy az ügyféllel kötött megállapodás hosszabb megőrzési időt nem ír elő – az ügyvédi tevékenység</w:t>
      </w:r>
      <w:r w:rsidR="00977BD2">
        <w:t xml:space="preserve"> </w:t>
      </w:r>
      <w:r w:rsidR="00455734">
        <w:t>gyakorló</w:t>
      </w:r>
      <w:r w:rsidR="00977BD2">
        <w:t>ja</w:t>
      </w:r>
      <w:r w:rsidR="00455734">
        <w:t xml:space="preserve"> általi keletkeztetését, illetve az ügyvédi tevékenység</w:t>
      </w:r>
      <w:r w:rsidR="00977BD2">
        <w:t xml:space="preserve"> </w:t>
      </w:r>
      <w:r w:rsidR="00455734">
        <w:t>gyakorló</w:t>
      </w:r>
      <w:r w:rsidR="00977BD2">
        <w:t>jának</w:t>
      </w:r>
      <w:r w:rsidR="00455734">
        <w:t xml:space="preserve"> kezelésébe kerülését követő egy évig kell megőrizni.</w:t>
      </w:r>
    </w:p>
    <w:p w14:paraId="10CF5B10" w14:textId="77777777" w:rsidR="001D2B4F" w:rsidRDefault="007320BD" w:rsidP="00266419">
      <w:pPr>
        <w:spacing w:before="200" w:line="276" w:lineRule="auto"/>
      </w:pPr>
      <w:r>
        <w:t xml:space="preserve">3.8. </w:t>
      </w:r>
      <w:r w:rsidRPr="00F006F3">
        <w:t>Az ügyvéd</w:t>
      </w:r>
      <w:r>
        <w:t xml:space="preserve">i tevékenység gyakorlója az </w:t>
      </w:r>
      <w:r w:rsidRPr="00F006F3">
        <w:t>irat</w:t>
      </w:r>
      <w:r>
        <w:t xml:space="preserve">ot a jogszabályban, jelen szabályzatban, illetve az ügyféllel kötött megállapodásban meghatározott megőrzési időt követően is megőrizheti, ha </w:t>
      </w:r>
      <w:r w:rsidRPr="00F006F3">
        <w:t xml:space="preserve">az irat a </w:t>
      </w:r>
      <w:r>
        <w:t xml:space="preserve">megőrzését </w:t>
      </w:r>
      <w:r w:rsidRPr="00F006F3">
        <w:t xml:space="preserve">megalapozó </w:t>
      </w:r>
      <w:r>
        <w:t xml:space="preserve">jogviszonnyal </w:t>
      </w:r>
      <w:r w:rsidRPr="00F006F3">
        <w:t>összefüggő igényérvényesítés során bizonyítékként felhasználható lehet.</w:t>
      </w:r>
    </w:p>
    <w:p w14:paraId="5DFF1142" w14:textId="7E1F1B90" w:rsidR="001D2B4F" w:rsidRDefault="007320BD" w:rsidP="00266419">
      <w:pPr>
        <w:spacing w:before="200" w:line="276" w:lineRule="auto"/>
      </w:pPr>
      <w:r>
        <w:t>3.9. Az ügyvédi tevékenység gyakorlója a 3.3. pont, illetve a 3.7. pont hatálya alá tartozó iratot a megőrzési idő letelte előtt az iratban foglalt ügyvédi titok feletti rendelkezésre jogosult személy részére kiadhatja.</w:t>
      </w:r>
    </w:p>
    <w:p w14:paraId="3399D563" w14:textId="02F4DDDA" w:rsidR="001D2B4F" w:rsidRDefault="007320BD" w:rsidP="00266419">
      <w:pPr>
        <w:spacing w:before="200" w:line="276" w:lineRule="auto"/>
        <w:rPr>
          <w:b/>
        </w:rPr>
      </w:pPr>
      <w:r>
        <w:rPr>
          <w:b/>
        </w:rPr>
        <w:t>4</w:t>
      </w:r>
      <w:r w:rsidR="002A1E3A" w:rsidRPr="002A1E3A">
        <w:rPr>
          <w:b/>
        </w:rPr>
        <w:t>. Záró rendelkezések</w:t>
      </w:r>
    </w:p>
    <w:p w14:paraId="0E7A6053" w14:textId="034BE441" w:rsidR="001D2B4F" w:rsidRDefault="007320BD" w:rsidP="00266419">
      <w:pPr>
        <w:spacing w:before="200" w:line="276" w:lineRule="auto"/>
      </w:pPr>
      <w:r>
        <w:t>4</w:t>
      </w:r>
      <w:r w:rsidR="002A1E3A">
        <w:t xml:space="preserve">.1. Ez a szabályzat </w:t>
      </w:r>
      <w:r w:rsidR="00614D72">
        <w:t xml:space="preserve">2019. január 1. napján lép </w:t>
      </w:r>
      <w:r w:rsidR="002A1E3A">
        <w:t>hatályba.</w:t>
      </w:r>
    </w:p>
    <w:p w14:paraId="2E77417C" w14:textId="1D5735FA" w:rsidR="002A1E3A" w:rsidRDefault="007320BD" w:rsidP="00266419">
      <w:pPr>
        <w:spacing w:before="200" w:line="276" w:lineRule="auto"/>
      </w:pPr>
      <w:r>
        <w:t>4</w:t>
      </w:r>
      <w:r w:rsidR="002A1E3A">
        <w:t>.2. Hatályát veszti a</w:t>
      </w:r>
      <w:r w:rsidR="002A1E3A" w:rsidRPr="002A1E3A">
        <w:t>z ügyvédi szervek iratai és az ügyvédi iratok irattári kezeléséről és selejtezéséről</w:t>
      </w:r>
      <w:r w:rsidR="002A1E3A">
        <w:t xml:space="preserve"> szóló </w:t>
      </w:r>
      <w:r w:rsidR="002A1E3A" w:rsidRPr="002A1E3A">
        <w:t>1994. (VI. 1.) MÜK szabályzat</w:t>
      </w:r>
      <w:r w:rsidR="002A1E3A">
        <w:t>.</w:t>
      </w:r>
    </w:p>
    <w:p w14:paraId="5A96C86E" w14:textId="701EB2C3" w:rsidR="0073302F" w:rsidRDefault="0073302F" w:rsidP="0073302F">
      <w:pPr>
        <w:spacing w:before="200" w:line="276" w:lineRule="auto"/>
      </w:pPr>
      <w:r>
        <w:t>4.3. A kamarai hatósági eljárásokról szóló 12/2017. (XI. 20.) MÜK szabályzat 3.1.3. pontja helyébe a következő rendelkezés lép:</w:t>
      </w:r>
    </w:p>
    <w:p w14:paraId="35BE6C7F" w14:textId="3A73905E" w:rsidR="0073302F" w:rsidRDefault="0073302F" w:rsidP="0073302F">
      <w:pPr>
        <w:spacing w:before="200" w:line="276" w:lineRule="auto"/>
      </w:pPr>
      <w:r>
        <w:t>„3.1.3. Jogszabály eltérő rendelkezése hiányában az ezer fő taglétszámot el nem érő területi ügyvédi kamara kamarai hatósági eljárásában az ügyfél és az eljárás egyéb résztvevője 2020. január 1. napjáig nem köteles elektronikus úton kapcsolatot tartani. Ez a rendelkezés 2019. december 31. napján hatályát veszti.”</w:t>
      </w:r>
    </w:p>
    <w:p w14:paraId="408688E7" w14:textId="7E7C4079" w:rsidR="00764418" w:rsidRPr="00764418" w:rsidRDefault="00764418" w:rsidP="00764418">
      <w:pPr>
        <w:autoSpaceDE w:val="0"/>
        <w:autoSpaceDN w:val="0"/>
        <w:adjustRightInd w:val="0"/>
        <w:spacing w:before="200" w:line="276" w:lineRule="auto"/>
        <w:outlineLvl w:val="0"/>
        <w:rPr>
          <w:rFonts w:eastAsia="Calibri" w:cs="Times New Roman"/>
          <w:szCs w:val="24"/>
        </w:rPr>
      </w:pPr>
      <w:r w:rsidRPr="00764418">
        <w:rPr>
          <w:rFonts w:eastAsia="Calibri" w:cs="Times New Roman"/>
          <w:szCs w:val="24"/>
        </w:rPr>
        <w:t xml:space="preserve">Budapest, 2018. </w:t>
      </w:r>
      <w:r w:rsidR="0073302F">
        <w:rPr>
          <w:rFonts w:eastAsia="Calibri" w:cs="Times New Roman"/>
          <w:szCs w:val="24"/>
        </w:rPr>
        <w:t xml:space="preserve">november </w:t>
      </w:r>
      <w:r w:rsidR="00A477C7">
        <w:rPr>
          <w:rFonts w:eastAsia="Calibri" w:cs="Times New Roman"/>
          <w:szCs w:val="24"/>
        </w:rPr>
        <w:t>27.</w:t>
      </w:r>
      <w:bookmarkStart w:id="0" w:name="_GoBack"/>
      <w:bookmarkEnd w:id="0"/>
    </w:p>
    <w:p w14:paraId="043EEDC6" w14:textId="77777777" w:rsidR="00764418" w:rsidRPr="00764418" w:rsidRDefault="00764418" w:rsidP="00764418">
      <w:pPr>
        <w:autoSpaceDE w:val="0"/>
        <w:autoSpaceDN w:val="0"/>
        <w:adjustRightInd w:val="0"/>
        <w:spacing w:before="200" w:line="276" w:lineRule="auto"/>
        <w:outlineLvl w:val="2"/>
        <w:rPr>
          <w:rFonts w:eastAsia="Calibri" w:cs="Times New Roman"/>
          <w:szCs w:val="24"/>
        </w:rPr>
      </w:pPr>
    </w:p>
    <w:p w14:paraId="7D346EF6" w14:textId="77777777" w:rsidR="00764418" w:rsidRPr="00764418" w:rsidRDefault="00764418" w:rsidP="00764418">
      <w:pPr>
        <w:autoSpaceDE w:val="0"/>
        <w:autoSpaceDN w:val="0"/>
        <w:adjustRightInd w:val="0"/>
        <w:spacing w:before="200" w:line="276" w:lineRule="auto"/>
        <w:outlineLvl w:val="2"/>
        <w:rPr>
          <w:rFonts w:eastAsia="Calibri" w:cs="Times New Roman"/>
          <w:szCs w:val="24"/>
        </w:rPr>
      </w:pPr>
    </w:p>
    <w:tbl>
      <w:tblPr>
        <w:tblW w:w="0" w:type="auto"/>
        <w:tblLook w:val="04A0" w:firstRow="1" w:lastRow="0" w:firstColumn="1" w:lastColumn="0" w:noHBand="0" w:noVBand="1"/>
      </w:tblPr>
      <w:tblGrid>
        <w:gridCol w:w="4531"/>
        <w:gridCol w:w="4531"/>
      </w:tblGrid>
      <w:tr w:rsidR="00764418" w:rsidRPr="008613A4" w14:paraId="446D5C15" w14:textId="77777777" w:rsidTr="00356E87">
        <w:tc>
          <w:tcPr>
            <w:tcW w:w="4531" w:type="dxa"/>
            <w:shd w:val="clear" w:color="auto" w:fill="auto"/>
          </w:tcPr>
          <w:p w14:paraId="5F91CFBF" w14:textId="77777777" w:rsidR="00764418" w:rsidRPr="008613A4" w:rsidRDefault="00764418" w:rsidP="00764418">
            <w:pPr>
              <w:autoSpaceDE w:val="0"/>
              <w:autoSpaceDN w:val="0"/>
              <w:adjustRightInd w:val="0"/>
              <w:spacing w:before="200" w:line="276" w:lineRule="auto"/>
              <w:jc w:val="center"/>
              <w:outlineLvl w:val="2"/>
              <w:rPr>
                <w:rFonts w:eastAsia="Calibri" w:cs="Times New Roman"/>
                <w:i/>
                <w:szCs w:val="24"/>
              </w:rPr>
            </w:pPr>
            <w:r w:rsidRPr="008613A4">
              <w:rPr>
                <w:rFonts w:eastAsia="Calibri" w:cs="Times New Roman"/>
                <w:i/>
                <w:szCs w:val="24"/>
              </w:rPr>
              <w:t>Dr. Bánáti János</w:t>
            </w:r>
            <w:r w:rsidRPr="008613A4">
              <w:rPr>
                <w:rFonts w:eastAsia="Calibri" w:cs="Times New Roman"/>
                <w:i/>
                <w:szCs w:val="24"/>
              </w:rPr>
              <w:br/>
              <w:t>elnök</w:t>
            </w:r>
          </w:p>
        </w:tc>
        <w:tc>
          <w:tcPr>
            <w:tcW w:w="4531" w:type="dxa"/>
            <w:shd w:val="clear" w:color="auto" w:fill="auto"/>
          </w:tcPr>
          <w:p w14:paraId="77DBC04E" w14:textId="77777777" w:rsidR="00764418" w:rsidRPr="008613A4" w:rsidRDefault="00764418" w:rsidP="00764418">
            <w:pPr>
              <w:autoSpaceDE w:val="0"/>
              <w:autoSpaceDN w:val="0"/>
              <w:adjustRightInd w:val="0"/>
              <w:spacing w:before="200" w:line="276" w:lineRule="auto"/>
              <w:jc w:val="center"/>
              <w:outlineLvl w:val="2"/>
              <w:rPr>
                <w:rFonts w:eastAsia="Calibri" w:cs="Times New Roman"/>
                <w:i/>
                <w:szCs w:val="24"/>
              </w:rPr>
            </w:pPr>
            <w:r w:rsidRPr="008613A4">
              <w:rPr>
                <w:rFonts w:eastAsia="Calibri" w:cs="Times New Roman"/>
                <w:i/>
                <w:szCs w:val="24"/>
              </w:rPr>
              <w:t>Dr. Fekete Tamás</w:t>
            </w:r>
            <w:r w:rsidRPr="008613A4">
              <w:rPr>
                <w:rFonts w:eastAsia="Calibri" w:cs="Times New Roman"/>
                <w:i/>
                <w:szCs w:val="24"/>
              </w:rPr>
              <w:br/>
              <w:t>főtitkár</w:t>
            </w:r>
          </w:p>
        </w:tc>
      </w:tr>
    </w:tbl>
    <w:p w14:paraId="6E75553F" w14:textId="77777777" w:rsidR="00764418" w:rsidRPr="00F006F3" w:rsidRDefault="00764418" w:rsidP="00266419">
      <w:pPr>
        <w:spacing w:before="200" w:line="276" w:lineRule="auto"/>
      </w:pPr>
    </w:p>
    <w:sectPr w:rsidR="00764418" w:rsidRPr="00F006F3" w:rsidSect="002A1E3A">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134" w:left="1134" w:header="63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97697" w14:textId="77777777" w:rsidR="006A044B" w:rsidRDefault="006A044B" w:rsidP="002F1F3A">
      <w:r>
        <w:separator/>
      </w:r>
    </w:p>
  </w:endnote>
  <w:endnote w:type="continuationSeparator" w:id="0">
    <w:p w14:paraId="75828D0A" w14:textId="77777777" w:rsidR="006A044B" w:rsidRDefault="006A044B" w:rsidP="002F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F50C" w14:textId="77777777" w:rsidR="00E568F9" w:rsidRDefault="00E568F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099747474"/>
      <w:docPartObj>
        <w:docPartGallery w:val="Page Numbers (Bottom of Page)"/>
        <w:docPartUnique/>
      </w:docPartObj>
    </w:sdtPr>
    <w:sdtEndPr/>
    <w:sdtContent>
      <w:p w14:paraId="088252E7" w14:textId="2133EA36" w:rsidR="00FA7799" w:rsidRPr="00FA7799" w:rsidRDefault="00FA7799" w:rsidP="00FA7799">
        <w:pPr>
          <w:pStyle w:val="llb"/>
          <w:jc w:val="right"/>
          <w:rPr>
            <w:rFonts w:cs="Times New Roman"/>
          </w:rPr>
        </w:pPr>
        <w:r w:rsidRPr="00FA7799">
          <w:rPr>
            <w:rFonts w:cs="Times New Roman"/>
          </w:rPr>
          <w:fldChar w:fldCharType="begin"/>
        </w:r>
        <w:r w:rsidRPr="00FA7799">
          <w:rPr>
            <w:rFonts w:cs="Times New Roman"/>
          </w:rPr>
          <w:instrText>PAGE   \* MERGEFORMAT</w:instrText>
        </w:r>
        <w:r w:rsidRPr="00FA7799">
          <w:rPr>
            <w:rFonts w:cs="Times New Roman"/>
          </w:rPr>
          <w:fldChar w:fldCharType="separate"/>
        </w:r>
        <w:r w:rsidR="00A477C7">
          <w:rPr>
            <w:rFonts w:cs="Times New Roman"/>
            <w:noProof/>
          </w:rPr>
          <w:t>3</w:t>
        </w:r>
        <w:r w:rsidRPr="00FA7799">
          <w:rPr>
            <w:rFonts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4B2B" w14:textId="77777777" w:rsidR="00E568F9" w:rsidRDefault="00E568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3BE6" w14:textId="77777777" w:rsidR="006A044B" w:rsidRDefault="006A044B" w:rsidP="002F1F3A">
      <w:r>
        <w:separator/>
      </w:r>
    </w:p>
  </w:footnote>
  <w:footnote w:type="continuationSeparator" w:id="0">
    <w:p w14:paraId="3C6513B8" w14:textId="77777777" w:rsidR="006A044B" w:rsidRDefault="006A044B" w:rsidP="002F1F3A">
      <w:r>
        <w:continuationSeparator/>
      </w:r>
    </w:p>
  </w:footnote>
  <w:footnote w:id="1">
    <w:p w14:paraId="0070016A" w14:textId="77777777" w:rsidR="007B17D9" w:rsidRDefault="007B17D9" w:rsidP="007B17D9">
      <w:pPr>
        <w:pStyle w:val="Lbjegyzetszveg"/>
      </w:pPr>
      <w:r>
        <w:rPr>
          <w:rStyle w:val="Lbjegyzet-hivatkozs"/>
        </w:rPr>
        <w:footnoteRef/>
      </w:r>
      <w:r>
        <w:t xml:space="preserve"> A szabályzatot a Magyar Ügyvédi Kamara Küldöttgyűlése a 2018. november 26-i ülésén fogadta 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ADB9" w14:textId="77777777" w:rsidR="00E568F9" w:rsidRDefault="00E568F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58A6" w14:textId="77777777" w:rsidR="00955460" w:rsidRPr="00E568F9" w:rsidRDefault="00955460" w:rsidP="00E568F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51D3" w14:textId="77777777" w:rsidR="00E568F9" w:rsidRDefault="00E568F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1EC"/>
    <w:multiLevelType w:val="hybridMultilevel"/>
    <w:tmpl w:val="E79866AE"/>
    <w:lvl w:ilvl="0" w:tplc="B7A2709C">
      <w:start w:val="1"/>
      <w:numFmt w:val="decimal"/>
      <w:pStyle w:val="kommentrpont"/>
      <w:lvlText w:val="[%1]"/>
      <w:lvlJc w:val="left"/>
      <w:pPr>
        <w:ind w:left="153"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49"/>
    <w:rsid w:val="00025ACE"/>
    <w:rsid w:val="00036DA6"/>
    <w:rsid w:val="00037A8D"/>
    <w:rsid w:val="00097E19"/>
    <w:rsid w:val="000A1F8C"/>
    <w:rsid w:val="000B5E1F"/>
    <w:rsid w:val="000C4A6D"/>
    <w:rsid w:val="001769D0"/>
    <w:rsid w:val="00187B89"/>
    <w:rsid w:val="0019092E"/>
    <w:rsid w:val="001A7AD1"/>
    <w:rsid w:val="001C1233"/>
    <w:rsid w:val="001C6C66"/>
    <w:rsid w:val="001D2B4F"/>
    <w:rsid w:val="001E11EB"/>
    <w:rsid w:val="002457A6"/>
    <w:rsid w:val="002462C4"/>
    <w:rsid w:val="00257412"/>
    <w:rsid w:val="00266419"/>
    <w:rsid w:val="00285ABB"/>
    <w:rsid w:val="002A1E3A"/>
    <w:rsid w:val="002A5312"/>
    <w:rsid w:val="002E2EB4"/>
    <w:rsid w:val="002F1F3A"/>
    <w:rsid w:val="003063F8"/>
    <w:rsid w:val="00315617"/>
    <w:rsid w:val="00382C04"/>
    <w:rsid w:val="00393D19"/>
    <w:rsid w:val="003A4307"/>
    <w:rsid w:val="003A559A"/>
    <w:rsid w:val="003C0462"/>
    <w:rsid w:val="003D4F5A"/>
    <w:rsid w:val="003E3945"/>
    <w:rsid w:val="003F7249"/>
    <w:rsid w:val="0042684E"/>
    <w:rsid w:val="00444E9E"/>
    <w:rsid w:val="00455734"/>
    <w:rsid w:val="004776D3"/>
    <w:rsid w:val="00492247"/>
    <w:rsid w:val="004A06EB"/>
    <w:rsid w:val="005001EF"/>
    <w:rsid w:val="00511505"/>
    <w:rsid w:val="0057085D"/>
    <w:rsid w:val="00597082"/>
    <w:rsid w:val="005F7AF5"/>
    <w:rsid w:val="00613EA9"/>
    <w:rsid w:val="00614D72"/>
    <w:rsid w:val="0062237D"/>
    <w:rsid w:val="00626D76"/>
    <w:rsid w:val="00674052"/>
    <w:rsid w:val="006A044B"/>
    <w:rsid w:val="006C3169"/>
    <w:rsid w:val="006F1FCB"/>
    <w:rsid w:val="006F2037"/>
    <w:rsid w:val="00707929"/>
    <w:rsid w:val="007320BD"/>
    <w:rsid w:val="0073302F"/>
    <w:rsid w:val="007400F8"/>
    <w:rsid w:val="00741E37"/>
    <w:rsid w:val="00764418"/>
    <w:rsid w:val="007B17D9"/>
    <w:rsid w:val="007C7D97"/>
    <w:rsid w:val="007E770F"/>
    <w:rsid w:val="008133A8"/>
    <w:rsid w:val="00817A3B"/>
    <w:rsid w:val="00845554"/>
    <w:rsid w:val="008613A4"/>
    <w:rsid w:val="00870597"/>
    <w:rsid w:val="00872D58"/>
    <w:rsid w:val="008F7B8C"/>
    <w:rsid w:val="009408DE"/>
    <w:rsid w:val="009514E6"/>
    <w:rsid w:val="00955460"/>
    <w:rsid w:val="00977BD2"/>
    <w:rsid w:val="00997F4D"/>
    <w:rsid w:val="009B644D"/>
    <w:rsid w:val="00A066AD"/>
    <w:rsid w:val="00A31964"/>
    <w:rsid w:val="00A376E4"/>
    <w:rsid w:val="00A477C7"/>
    <w:rsid w:val="00A725E6"/>
    <w:rsid w:val="00A72CDF"/>
    <w:rsid w:val="00AC5106"/>
    <w:rsid w:val="00AD1E91"/>
    <w:rsid w:val="00AE7FD2"/>
    <w:rsid w:val="00B024F6"/>
    <w:rsid w:val="00B07836"/>
    <w:rsid w:val="00B16DB8"/>
    <w:rsid w:val="00B40FAA"/>
    <w:rsid w:val="00BA1F02"/>
    <w:rsid w:val="00BC1F7F"/>
    <w:rsid w:val="00BC4C20"/>
    <w:rsid w:val="00BE4601"/>
    <w:rsid w:val="00BE6376"/>
    <w:rsid w:val="00C90B7C"/>
    <w:rsid w:val="00CC6B72"/>
    <w:rsid w:val="00CE1F6C"/>
    <w:rsid w:val="00D2130B"/>
    <w:rsid w:val="00D354FB"/>
    <w:rsid w:val="00D87F2E"/>
    <w:rsid w:val="00DA679F"/>
    <w:rsid w:val="00DB76D7"/>
    <w:rsid w:val="00DE23EE"/>
    <w:rsid w:val="00E07E2A"/>
    <w:rsid w:val="00E177AD"/>
    <w:rsid w:val="00E43AEE"/>
    <w:rsid w:val="00E568F9"/>
    <w:rsid w:val="00E64C3B"/>
    <w:rsid w:val="00E74FA5"/>
    <w:rsid w:val="00E81AEF"/>
    <w:rsid w:val="00EE0C40"/>
    <w:rsid w:val="00F006F3"/>
    <w:rsid w:val="00F03210"/>
    <w:rsid w:val="00F03D76"/>
    <w:rsid w:val="00F91B80"/>
    <w:rsid w:val="00FA3F68"/>
    <w:rsid w:val="00FA7799"/>
    <w:rsid w:val="00FB3C6A"/>
    <w:rsid w:val="00FD029B"/>
    <w:rsid w:val="00FD3A55"/>
    <w:rsid w:val="00FD49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4601"/>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ommentrpont">
    <w:name w:val="kommentárpont"/>
    <w:basedOn w:val="Norml"/>
    <w:link w:val="kommentrpontChar"/>
    <w:qFormat/>
    <w:rsid w:val="000A1F8C"/>
    <w:pPr>
      <w:numPr>
        <w:numId w:val="1"/>
      </w:numPr>
      <w:contextualSpacing/>
    </w:pPr>
  </w:style>
  <w:style w:type="character" w:customStyle="1" w:styleId="kommentrpontChar">
    <w:name w:val="kommentárpont Char"/>
    <w:basedOn w:val="Bekezdsalapbettpusa"/>
    <w:link w:val="kommentrpont"/>
    <w:rsid w:val="000A1F8C"/>
    <w:rPr>
      <w:rFonts w:ascii="Times New Roman" w:hAnsi="Times New Roman" w:cstheme="minorHAnsi"/>
      <w:sz w:val="24"/>
    </w:rPr>
  </w:style>
  <w:style w:type="paragraph" w:styleId="Buborkszveg">
    <w:name w:val="Balloon Text"/>
    <w:basedOn w:val="Norml"/>
    <w:link w:val="BuborkszvegChar"/>
    <w:uiPriority w:val="99"/>
    <w:semiHidden/>
    <w:unhideWhenUsed/>
    <w:rsid w:val="00BA1F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1F02"/>
    <w:rPr>
      <w:rFonts w:ascii="Segoe UI" w:hAnsi="Segoe UI" w:cs="Segoe UI"/>
      <w:sz w:val="18"/>
      <w:szCs w:val="18"/>
    </w:rPr>
  </w:style>
  <w:style w:type="character" w:styleId="Jegyzethivatkozs">
    <w:name w:val="annotation reference"/>
    <w:basedOn w:val="Bekezdsalapbettpusa"/>
    <w:uiPriority w:val="99"/>
    <w:semiHidden/>
    <w:unhideWhenUsed/>
    <w:rsid w:val="00B16DB8"/>
    <w:rPr>
      <w:sz w:val="16"/>
      <w:szCs w:val="16"/>
    </w:rPr>
  </w:style>
  <w:style w:type="paragraph" w:styleId="Jegyzetszveg">
    <w:name w:val="annotation text"/>
    <w:basedOn w:val="Norml"/>
    <w:link w:val="JegyzetszvegChar"/>
    <w:uiPriority w:val="99"/>
    <w:semiHidden/>
    <w:unhideWhenUsed/>
    <w:rsid w:val="00B16DB8"/>
    <w:rPr>
      <w:sz w:val="20"/>
      <w:szCs w:val="20"/>
    </w:rPr>
  </w:style>
  <w:style w:type="character" w:customStyle="1" w:styleId="JegyzetszvegChar">
    <w:name w:val="Jegyzetszöveg Char"/>
    <w:basedOn w:val="Bekezdsalapbettpusa"/>
    <w:link w:val="Jegyzetszveg"/>
    <w:uiPriority w:val="99"/>
    <w:semiHidden/>
    <w:rsid w:val="00B16DB8"/>
    <w:rPr>
      <w:rFonts w:ascii="Times New Roman" w:hAnsi="Times New Roman" w:cstheme="minorHAnsi"/>
      <w:sz w:val="20"/>
      <w:szCs w:val="20"/>
    </w:rPr>
  </w:style>
  <w:style w:type="paragraph" w:styleId="Megjegyzstrgya">
    <w:name w:val="annotation subject"/>
    <w:basedOn w:val="Jegyzetszveg"/>
    <w:next w:val="Jegyzetszveg"/>
    <w:link w:val="MegjegyzstrgyaChar"/>
    <w:uiPriority w:val="99"/>
    <w:semiHidden/>
    <w:unhideWhenUsed/>
    <w:rsid w:val="00B16DB8"/>
    <w:rPr>
      <w:b/>
      <w:bCs/>
    </w:rPr>
  </w:style>
  <w:style w:type="character" w:customStyle="1" w:styleId="MegjegyzstrgyaChar">
    <w:name w:val="Megjegyzés tárgya Char"/>
    <w:basedOn w:val="JegyzetszvegChar"/>
    <w:link w:val="Megjegyzstrgya"/>
    <w:uiPriority w:val="99"/>
    <w:semiHidden/>
    <w:rsid w:val="00B16DB8"/>
    <w:rPr>
      <w:rFonts w:ascii="Times New Roman" w:hAnsi="Times New Roman" w:cstheme="minorHAnsi"/>
      <w:b/>
      <w:bCs/>
      <w:sz w:val="20"/>
      <w:szCs w:val="20"/>
    </w:rPr>
  </w:style>
  <w:style w:type="paragraph" w:customStyle="1" w:styleId="Default">
    <w:name w:val="Default"/>
    <w:rsid w:val="002A1E3A"/>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C90B7C"/>
    <w:pPr>
      <w:tabs>
        <w:tab w:val="center" w:pos="4536"/>
        <w:tab w:val="right" w:pos="9072"/>
      </w:tabs>
    </w:pPr>
  </w:style>
  <w:style w:type="character" w:customStyle="1" w:styleId="lfejChar">
    <w:name w:val="Élőfej Char"/>
    <w:basedOn w:val="Bekezdsalapbettpusa"/>
    <w:link w:val="lfej"/>
    <w:uiPriority w:val="99"/>
    <w:rsid w:val="00C90B7C"/>
    <w:rPr>
      <w:rFonts w:ascii="Times New Roman" w:hAnsi="Times New Roman" w:cstheme="minorHAnsi"/>
      <w:sz w:val="24"/>
    </w:rPr>
  </w:style>
  <w:style w:type="paragraph" w:styleId="llb">
    <w:name w:val="footer"/>
    <w:basedOn w:val="Norml"/>
    <w:link w:val="llbChar"/>
    <w:uiPriority w:val="99"/>
    <w:unhideWhenUsed/>
    <w:rsid w:val="00C90B7C"/>
    <w:pPr>
      <w:tabs>
        <w:tab w:val="center" w:pos="4536"/>
        <w:tab w:val="right" w:pos="9072"/>
      </w:tabs>
    </w:pPr>
  </w:style>
  <w:style w:type="character" w:customStyle="1" w:styleId="llbChar">
    <w:name w:val="Élőláb Char"/>
    <w:basedOn w:val="Bekezdsalapbettpusa"/>
    <w:link w:val="llb"/>
    <w:uiPriority w:val="99"/>
    <w:rsid w:val="00C90B7C"/>
    <w:rPr>
      <w:rFonts w:ascii="Times New Roman" w:hAnsi="Times New Roman" w:cstheme="minorHAnsi"/>
      <w:sz w:val="24"/>
    </w:rPr>
  </w:style>
  <w:style w:type="paragraph" w:styleId="Lbjegyzetszveg">
    <w:name w:val="footnote text"/>
    <w:basedOn w:val="Norml"/>
    <w:link w:val="LbjegyzetszvegChar"/>
    <w:uiPriority w:val="99"/>
    <w:semiHidden/>
    <w:unhideWhenUsed/>
    <w:rsid w:val="007B17D9"/>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B17D9"/>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B1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4601"/>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ommentrpont">
    <w:name w:val="kommentárpont"/>
    <w:basedOn w:val="Norml"/>
    <w:link w:val="kommentrpontChar"/>
    <w:qFormat/>
    <w:rsid w:val="000A1F8C"/>
    <w:pPr>
      <w:numPr>
        <w:numId w:val="1"/>
      </w:numPr>
      <w:contextualSpacing/>
    </w:pPr>
  </w:style>
  <w:style w:type="character" w:customStyle="1" w:styleId="kommentrpontChar">
    <w:name w:val="kommentárpont Char"/>
    <w:basedOn w:val="Bekezdsalapbettpusa"/>
    <w:link w:val="kommentrpont"/>
    <w:rsid w:val="000A1F8C"/>
    <w:rPr>
      <w:rFonts w:ascii="Times New Roman" w:hAnsi="Times New Roman" w:cstheme="minorHAnsi"/>
      <w:sz w:val="24"/>
    </w:rPr>
  </w:style>
  <w:style w:type="paragraph" w:styleId="Buborkszveg">
    <w:name w:val="Balloon Text"/>
    <w:basedOn w:val="Norml"/>
    <w:link w:val="BuborkszvegChar"/>
    <w:uiPriority w:val="99"/>
    <w:semiHidden/>
    <w:unhideWhenUsed/>
    <w:rsid w:val="00BA1F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1F02"/>
    <w:rPr>
      <w:rFonts w:ascii="Segoe UI" w:hAnsi="Segoe UI" w:cs="Segoe UI"/>
      <w:sz w:val="18"/>
      <w:szCs w:val="18"/>
    </w:rPr>
  </w:style>
  <w:style w:type="character" w:styleId="Jegyzethivatkozs">
    <w:name w:val="annotation reference"/>
    <w:basedOn w:val="Bekezdsalapbettpusa"/>
    <w:uiPriority w:val="99"/>
    <w:semiHidden/>
    <w:unhideWhenUsed/>
    <w:rsid w:val="00B16DB8"/>
    <w:rPr>
      <w:sz w:val="16"/>
      <w:szCs w:val="16"/>
    </w:rPr>
  </w:style>
  <w:style w:type="paragraph" w:styleId="Jegyzetszveg">
    <w:name w:val="annotation text"/>
    <w:basedOn w:val="Norml"/>
    <w:link w:val="JegyzetszvegChar"/>
    <w:uiPriority w:val="99"/>
    <w:semiHidden/>
    <w:unhideWhenUsed/>
    <w:rsid w:val="00B16DB8"/>
    <w:rPr>
      <w:sz w:val="20"/>
      <w:szCs w:val="20"/>
    </w:rPr>
  </w:style>
  <w:style w:type="character" w:customStyle="1" w:styleId="JegyzetszvegChar">
    <w:name w:val="Jegyzetszöveg Char"/>
    <w:basedOn w:val="Bekezdsalapbettpusa"/>
    <w:link w:val="Jegyzetszveg"/>
    <w:uiPriority w:val="99"/>
    <w:semiHidden/>
    <w:rsid w:val="00B16DB8"/>
    <w:rPr>
      <w:rFonts w:ascii="Times New Roman" w:hAnsi="Times New Roman" w:cstheme="minorHAnsi"/>
      <w:sz w:val="20"/>
      <w:szCs w:val="20"/>
    </w:rPr>
  </w:style>
  <w:style w:type="paragraph" w:styleId="Megjegyzstrgya">
    <w:name w:val="annotation subject"/>
    <w:basedOn w:val="Jegyzetszveg"/>
    <w:next w:val="Jegyzetszveg"/>
    <w:link w:val="MegjegyzstrgyaChar"/>
    <w:uiPriority w:val="99"/>
    <w:semiHidden/>
    <w:unhideWhenUsed/>
    <w:rsid w:val="00B16DB8"/>
    <w:rPr>
      <w:b/>
      <w:bCs/>
    </w:rPr>
  </w:style>
  <w:style w:type="character" w:customStyle="1" w:styleId="MegjegyzstrgyaChar">
    <w:name w:val="Megjegyzés tárgya Char"/>
    <w:basedOn w:val="JegyzetszvegChar"/>
    <w:link w:val="Megjegyzstrgya"/>
    <w:uiPriority w:val="99"/>
    <w:semiHidden/>
    <w:rsid w:val="00B16DB8"/>
    <w:rPr>
      <w:rFonts w:ascii="Times New Roman" w:hAnsi="Times New Roman" w:cstheme="minorHAnsi"/>
      <w:b/>
      <w:bCs/>
      <w:sz w:val="20"/>
      <w:szCs w:val="20"/>
    </w:rPr>
  </w:style>
  <w:style w:type="paragraph" w:customStyle="1" w:styleId="Default">
    <w:name w:val="Default"/>
    <w:rsid w:val="002A1E3A"/>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C90B7C"/>
    <w:pPr>
      <w:tabs>
        <w:tab w:val="center" w:pos="4536"/>
        <w:tab w:val="right" w:pos="9072"/>
      </w:tabs>
    </w:pPr>
  </w:style>
  <w:style w:type="character" w:customStyle="1" w:styleId="lfejChar">
    <w:name w:val="Élőfej Char"/>
    <w:basedOn w:val="Bekezdsalapbettpusa"/>
    <w:link w:val="lfej"/>
    <w:uiPriority w:val="99"/>
    <w:rsid w:val="00C90B7C"/>
    <w:rPr>
      <w:rFonts w:ascii="Times New Roman" w:hAnsi="Times New Roman" w:cstheme="minorHAnsi"/>
      <w:sz w:val="24"/>
    </w:rPr>
  </w:style>
  <w:style w:type="paragraph" w:styleId="llb">
    <w:name w:val="footer"/>
    <w:basedOn w:val="Norml"/>
    <w:link w:val="llbChar"/>
    <w:uiPriority w:val="99"/>
    <w:unhideWhenUsed/>
    <w:rsid w:val="00C90B7C"/>
    <w:pPr>
      <w:tabs>
        <w:tab w:val="center" w:pos="4536"/>
        <w:tab w:val="right" w:pos="9072"/>
      </w:tabs>
    </w:pPr>
  </w:style>
  <w:style w:type="character" w:customStyle="1" w:styleId="llbChar">
    <w:name w:val="Élőláb Char"/>
    <w:basedOn w:val="Bekezdsalapbettpusa"/>
    <w:link w:val="llb"/>
    <w:uiPriority w:val="99"/>
    <w:rsid w:val="00C90B7C"/>
    <w:rPr>
      <w:rFonts w:ascii="Times New Roman" w:hAnsi="Times New Roman" w:cstheme="minorHAnsi"/>
      <w:sz w:val="24"/>
    </w:rPr>
  </w:style>
  <w:style w:type="paragraph" w:styleId="Lbjegyzetszveg">
    <w:name w:val="footnote text"/>
    <w:basedOn w:val="Norml"/>
    <w:link w:val="LbjegyzetszvegChar"/>
    <w:uiPriority w:val="99"/>
    <w:semiHidden/>
    <w:unhideWhenUsed/>
    <w:rsid w:val="007B17D9"/>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B17D9"/>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B1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703E-49A8-4D93-B0B6-3260566B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5837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goodsense2</dc:creator>
  <cp:lastModifiedBy>MÜK főtitkár</cp:lastModifiedBy>
  <cp:revision>3</cp:revision>
  <dcterms:created xsi:type="dcterms:W3CDTF">2018-11-27T11:44:00Z</dcterms:created>
  <dcterms:modified xsi:type="dcterms:W3CDTF">2018-11-27T11:48:00Z</dcterms:modified>
</cp:coreProperties>
</file>